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tblCellSpacing w:w="60" w:type="dxa"/>
        <w:tblInd w:w="130" w:type="dxa"/>
        <w:tblBorders>
          <w:top w:val="nil"/>
          <w:left w:val="nil"/>
          <w:bottom w:val="nil"/>
          <w:right w:val="nil"/>
          <w:insideH w:val="nil"/>
          <w:insideV w:val="nil"/>
        </w:tblBorders>
        <w:shd w:val="clear" w:color="auto" w:fill="E7F0F9"/>
        <w:tblCellMar>
          <w:left w:w="10" w:type="dxa"/>
          <w:right w:w="10" w:type="dxa"/>
        </w:tblCellMar>
        <w:tblLook w:val="0000" w:firstRow="0" w:lastRow="0" w:firstColumn="0" w:lastColumn="0" w:noHBand="0" w:noVBand="0"/>
      </w:tblPr>
      <w:tblGrid>
        <w:gridCol w:w="2254"/>
        <w:gridCol w:w="6746"/>
      </w:tblGrid>
      <w:tr w:rsidR="0010088D" w14:paraId="15EA1C2E" w14:textId="77777777">
        <w:tblPrEx>
          <w:tblCellMar>
            <w:top w:w="0" w:type="dxa"/>
            <w:bottom w:w="0" w:type="dxa"/>
          </w:tblCellMar>
        </w:tblPrEx>
        <w:trPr>
          <w:tblCellSpacing w:w="60" w:type="dxa"/>
        </w:trPr>
        <w:tc>
          <w:tcPr>
            <w:tcW w:w="1200" w:type="pct"/>
            <w:shd w:val="clear" w:color="auto" w:fill="E7F0F9"/>
          </w:tcPr>
          <w:p w14:paraId="350E323A" w14:textId="77777777" w:rsidR="0010088D" w:rsidRDefault="00000000">
            <w:pPr>
              <w:spacing w:after="0" w:line="240" w:lineRule="auto"/>
            </w:pPr>
            <w:r>
              <w:rPr>
                <w:b/>
              </w:rPr>
              <w:t>RKP broj</w:t>
            </w:r>
          </w:p>
        </w:tc>
        <w:tc>
          <w:tcPr>
            <w:tcW w:w="0" w:type="auto"/>
            <w:shd w:val="clear" w:color="auto" w:fill="E7F0F9"/>
          </w:tcPr>
          <w:p w14:paraId="7CA9B74E" w14:textId="77777777" w:rsidR="0010088D" w:rsidRDefault="00000000">
            <w:pPr>
              <w:spacing w:after="0" w:line="240" w:lineRule="auto"/>
            </w:pPr>
            <w:r>
              <w:t>31309</w:t>
            </w:r>
          </w:p>
        </w:tc>
      </w:tr>
      <w:tr w:rsidR="0010088D" w14:paraId="48F27F82" w14:textId="77777777">
        <w:tblPrEx>
          <w:tblCellMar>
            <w:top w:w="0" w:type="dxa"/>
            <w:bottom w:w="0" w:type="dxa"/>
          </w:tblCellMar>
        </w:tblPrEx>
        <w:trPr>
          <w:tblCellSpacing w:w="60" w:type="dxa"/>
        </w:trPr>
        <w:tc>
          <w:tcPr>
            <w:tcW w:w="1200" w:type="pct"/>
            <w:shd w:val="clear" w:color="auto" w:fill="E7F0F9"/>
          </w:tcPr>
          <w:p w14:paraId="5147D977" w14:textId="77777777" w:rsidR="0010088D" w:rsidRDefault="00000000">
            <w:pPr>
              <w:spacing w:after="0" w:line="240" w:lineRule="auto"/>
            </w:pPr>
            <w:r>
              <w:rPr>
                <w:b/>
              </w:rPr>
              <w:t>Naziv obveznika</w:t>
            </w:r>
          </w:p>
        </w:tc>
        <w:tc>
          <w:tcPr>
            <w:tcW w:w="0" w:type="auto"/>
            <w:shd w:val="clear" w:color="auto" w:fill="E7F0F9"/>
          </w:tcPr>
          <w:p w14:paraId="4C6E9261" w14:textId="77777777" w:rsidR="0010088D" w:rsidRDefault="00000000">
            <w:pPr>
              <w:spacing w:after="0" w:line="240" w:lineRule="auto"/>
            </w:pPr>
            <w:r>
              <w:t>DJEČJI VRTIĆ ŠKRINJICA</w:t>
            </w:r>
          </w:p>
        </w:tc>
      </w:tr>
      <w:tr w:rsidR="0010088D" w14:paraId="2AF20EDF" w14:textId="77777777">
        <w:tblPrEx>
          <w:tblCellMar>
            <w:top w:w="0" w:type="dxa"/>
            <w:bottom w:w="0" w:type="dxa"/>
          </w:tblCellMar>
        </w:tblPrEx>
        <w:trPr>
          <w:tblCellSpacing w:w="60" w:type="dxa"/>
        </w:trPr>
        <w:tc>
          <w:tcPr>
            <w:tcW w:w="1200" w:type="pct"/>
            <w:shd w:val="clear" w:color="auto" w:fill="E7F0F9"/>
          </w:tcPr>
          <w:p w14:paraId="1A128A20" w14:textId="77777777" w:rsidR="0010088D" w:rsidRDefault="00000000">
            <w:pPr>
              <w:spacing w:after="0" w:line="240" w:lineRule="auto"/>
            </w:pPr>
            <w:r>
              <w:rPr>
                <w:b/>
              </w:rPr>
              <w:t>Razina</w:t>
            </w:r>
          </w:p>
        </w:tc>
        <w:tc>
          <w:tcPr>
            <w:tcW w:w="0" w:type="auto"/>
            <w:shd w:val="clear" w:color="auto" w:fill="E7F0F9"/>
          </w:tcPr>
          <w:p w14:paraId="5449B6AE" w14:textId="77777777" w:rsidR="0010088D" w:rsidRDefault="00000000">
            <w:pPr>
              <w:spacing w:after="0" w:line="240" w:lineRule="auto"/>
            </w:pPr>
            <w:r>
              <w:t>21</w:t>
            </w:r>
          </w:p>
        </w:tc>
      </w:tr>
    </w:tbl>
    <w:p w14:paraId="23315CCD" w14:textId="77777777" w:rsidR="0010088D" w:rsidRDefault="00000000">
      <w:r>
        <w:br/>
      </w:r>
    </w:p>
    <w:p w14:paraId="37C1EB81" w14:textId="77777777" w:rsidR="0010088D" w:rsidRDefault="00000000">
      <w:pPr>
        <w:spacing w:line="240" w:lineRule="auto"/>
        <w:jc w:val="center"/>
      </w:pPr>
      <w:r>
        <w:rPr>
          <w:b/>
          <w:sz w:val="28"/>
        </w:rPr>
        <w:t>BILJEŠKE UZ FINANCIJSKE IZVJEŠTAJE</w:t>
      </w:r>
    </w:p>
    <w:p w14:paraId="25749532" w14:textId="77777777" w:rsidR="0010088D" w:rsidRDefault="00000000">
      <w:pPr>
        <w:spacing w:line="240" w:lineRule="auto"/>
        <w:jc w:val="center"/>
      </w:pPr>
      <w:r>
        <w:rPr>
          <w:b/>
          <w:sz w:val="28"/>
        </w:rPr>
        <w:t>ZA RAZDOBLJE</w:t>
      </w:r>
    </w:p>
    <w:p w14:paraId="048C7722" w14:textId="77777777" w:rsidR="0010088D" w:rsidRDefault="00000000">
      <w:pPr>
        <w:spacing w:line="240" w:lineRule="auto"/>
        <w:jc w:val="center"/>
      </w:pPr>
      <w:r>
        <w:rPr>
          <w:b/>
          <w:sz w:val="28"/>
        </w:rPr>
        <w:t>I - VI 2025.</w:t>
      </w:r>
    </w:p>
    <w:p w14:paraId="1BC31045" w14:textId="77777777" w:rsidR="0010088D" w:rsidRDefault="0010088D"/>
    <w:p w14:paraId="2553F465" w14:textId="77777777" w:rsidR="0010088D" w:rsidRDefault="00000000">
      <w:pPr>
        <w:keepNext/>
        <w:spacing w:line="240" w:lineRule="auto"/>
        <w:jc w:val="center"/>
      </w:pPr>
      <w:r>
        <w:rPr>
          <w:b/>
          <w:sz w:val="28"/>
        </w:rPr>
        <w:t>Izvještaj o prihodima i rashodima, primicima i izdacima</w:t>
      </w:r>
    </w:p>
    <w:p w14:paraId="20D38B8E" w14:textId="77777777" w:rsidR="0010088D" w:rsidRDefault="00000000">
      <w:pPr>
        <w:keepNext/>
        <w:spacing w:line="240" w:lineRule="auto"/>
        <w:jc w:val="center"/>
      </w:pPr>
      <w:r>
        <w:rPr>
          <w:sz w:val="28"/>
        </w:rPr>
        <w:t>Bilješka 1.</w:t>
      </w:r>
    </w:p>
    <w:tbl>
      <w:tblPr>
        <w:tblW w:w="0" w:type="auto"/>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0088D" w14:paraId="53520576"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E9D7749" w14:textId="77777777" w:rsidR="0010088D"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29F62E45" w14:textId="77777777" w:rsidR="0010088D"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459E58E" w14:textId="77777777" w:rsidR="0010088D"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7C86647" w14:textId="77777777" w:rsidR="0010088D"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E08AF00" w14:textId="77777777" w:rsidR="0010088D"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E2E5A7A" w14:textId="77777777" w:rsidR="0010088D" w:rsidRDefault="00000000">
            <w:pPr>
              <w:keepNext/>
              <w:keepLines/>
              <w:spacing w:after="0" w:line="240" w:lineRule="auto"/>
              <w:jc w:val="center"/>
            </w:pPr>
            <w:r>
              <w:rPr>
                <w:b/>
                <w:sz w:val="18"/>
              </w:rPr>
              <w:t>Indeks (%)</w:t>
            </w:r>
          </w:p>
        </w:tc>
      </w:tr>
      <w:tr w:rsidR="0010088D" w14:paraId="7EFE7352" w14:textId="77777777">
        <w:tblPrEx>
          <w:tblCellMar>
            <w:top w:w="0" w:type="dxa"/>
            <w:bottom w:w="0" w:type="dxa"/>
          </w:tblCellMar>
        </w:tblPrEx>
        <w:trPr>
          <w:cantSplit/>
          <w:trHeight w:val="560"/>
        </w:trPr>
        <w:tc>
          <w:tcPr>
            <w:tcW w:w="700" w:type="dxa"/>
            <w:tcMar>
              <w:top w:w="0" w:type="dxa"/>
              <w:bottom w:w="0" w:type="dxa"/>
            </w:tcMar>
            <w:vAlign w:val="center"/>
          </w:tcPr>
          <w:p w14:paraId="0CA8658C" w14:textId="77777777" w:rsidR="0010088D" w:rsidRDefault="00000000">
            <w:pPr>
              <w:keepNext/>
              <w:keepLines/>
              <w:spacing w:after="0" w:line="240" w:lineRule="auto"/>
            </w:pPr>
            <w:r>
              <w:rPr>
                <w:sz w:val="18"/>
              </w:rPr>
              <w:t>6</w:t>
            </w:r>
          </w:p>
        </w:tc>
        <w:tc>
          <w:tcPr>
            <w:tcW w:w="3180" w:type="dxa"/>
            <w:tcMar>
              <w:top w:w="0" w:type="dxa"/>
              <w:bottom w:w="0" w:type="dxa"/>
            </w:tcMar>
            <w:vAlign w:val="center"/>
          </w:tcPr>
          <w:p w14:paraId="334C71FE" w14:textId="77777777" w:rsidR="0010088D" w:rsidRDefault="00000000">
            <w:pPr>
              <w:keepNext/>
              <w:keepLines/>
              <w:spacing w:after="0" w:line="240" w:lineRule="auto"/>
            </w:pPr>
            <w:r>
              <w:rPr>
                <w:sz w:val="18"/>
              </w:rPr>
              <w:t>PRIHODI POSLOVANJA (šifre 61+62+63+64+65+66+67+68)</w:t>
            </w:r>
          </w:p>
        </w:tc>
        <w:tc>
          <w:tcPr>
            <w:tcW w:w="700" w:type="dxa"/>
            <w:tcMar>
              <w:top w:w="0" w:type="dxa"/>
              <w:bottom w:w="0" w:type="dxa"/>
            </w:tcMar>
            <w:vAlign w:val="center"/>
          </w:tcPr>
          <w:p w14:paraId="16BDF7B7" w14:textId="77777777" w:rsidR="0010088D" w:rsidRDefault="00000000">
            <w:pPr>
              <w:keepNext/>
              <w:keepLines/>
              <w:spacing w:after="0" w:line="240" w:lineRule="auto"/>
            </w:pPr>
            <w:r>
              <w:rPr>
                <w:sz w:val="18"/>
              </w:rPr>
              <w:t>6</w:t>
            </w:r>
          </w:p>
        </w:tc>
        <w:tc>
          <w:tcPr>
            <w:tcW w:w="1860" w:type="dxa"/>
            <w:tcMar>
              <w:top w:w="0" w:type="dxa"/>
              <w:bottom w:w="0" w:type="dxa"/>
            </w:tcMar>
            <w:vAlign w:val="center"/>
          </w:tcPr>
          <w:p w14:paraId="10D4E42D" w14:textId="77777777" w:rsidR="0010088D" w:rsidRDefault="00000000">
            <w:pPr>
              <w:keepNext/>
              <w:keepLines/>
              <w:spacing w:after="0" w:line="240" w:lineRule="auto"/>
              <w:jc w:val="right"/>
            </w:pPr>
            <w:r>
              <w:rPr>
                <w:sz w:val="18"/>
              </w:rPr>
              <w:t>304.119,76</w:t>
            </w:r>
          </w:p>
        </w:tc>
        <w:tc>
          <w:tcPr>
            <w:tcW w:w="1860" w:type="dxa"/>
            <w:tcMar>
              <w:top w:w="0" w:type="dxa"/>
              <w:bottom w:w="0" w:type="dxa"/>
            </w:tcMar>
            <w:vAlign w:val="center"/>
          </w:tcPr>
          <w:p w14:paraId="52424AC5" w14:textId="77777777" w:rsidR="0010088D" w:rsidRDefault="00000000">
            <w:pPr>
              <w:keepNext/>
              <w:keepLines/>
              <w:spacing w:after="0" w:line="240" w:lineRule="auto"/>
              <w:jc w:val="right"/>
            </w:pPr>
            <w:r>
              <w:rPr>
                <w:sz w:val="18"/>
              </w:rPr>
              <w:t>434.317,00</w:t>
            </w:r>
          </w:p>
        </w:tc>
        <w:tc>
          <w:tcPr>
            <w:tcW w:w="700" w:type="dxa"/>
            <w:tcMar>
              <w:top w:w="0" w:type="dxa"/>
              <w:bottom w:w="0" w:type="dxa"/>
            </w:tcMar>
            <w:vAlign w:val="center"/>
          </w:tcPr>
          <w:p w14:paraId="543B38CA" w14:textId="77777777" w:rsidR="0010088D" w:rsidRDefault="00000000">
            <w:pPr>
              <w:keepNext/>
              <w:keepLines/>
              <w:spacing w:after="0" w:line="240" w:lineRule="auto"/>
              <w:jc w:val="right"/>
            </w:pPr>
            <w:r>
              <w:rPr>
                <w:sz w:val="18"/>
              </w:rPr>
              <w:t>142,8</w:t>
            </w:r>
          </w:p>
        </w:tc>
      </w:tr>
      <w:tr w:rsidR="0010088D" w14:paraId="4F3C2024" w14:textId="77777777">
        <w:tblPrEx>
          <w:tblCellMar>
            <w:top w:w="0" w:type="dxa"/>
            <w:bottom w:w="0" w:type="dxa"/>
          </w:tblCellMar>
        </w:tblPrEx>
        <w:trPr>
          <w:cantSplit/>
          <w:trHeight w:val="560"/>
        </w:trPr>
        <w:tc>
          <w:tcPr>
            <w:tcW w:w="700" w:type="dxa"/>
            <w:tcMar>
              <w:top w:w="0" w:type="dxa"/>
              <w:bottom w:w="0" w:type="dxa"/>
            </w:tcMar>
            <w:vAlign w:val="center"/>
          </w:tcPr>
          <w:p w14:paraId="029B1E1C" w14:textId="77777777" w:rsidR="0010088D" w:rsidRDefault="00000000">
            <w:pPr>
              <w:keepNext/>
              <w:keepLines/>
              <w:spacing w:after="0" w:line="240" w:lineRule="auto"/>
            </w:pPr>
            <w:r>
              <w:rPr>
                <w:sz w:val="18"/>
              </w:rPr>
              <w:t>3</w:t>
            </w:r>
          </w:p>
        </w:tc>
        <w:tc>
          <w:tcPr>
            <w:tcW w:w="3180" w:type="dxa"/>
            <w:tcMar>
              <w:top w:w="0" w:type="dxa"/>
              <w:bottom w:w="0" w:type="dxa"/>
            </w:tcMar>
            <w:vAlign w:val="center"/>
          </w:tcPr>
          <w:p w14:paraId="13DEBB77" w14:textId="77777777" w:rsidR="0010088D" w:rsidRDefault="00000000">
            <w:pPr>
              <w:keepNext/>
              <w:keepLines/>
              <w:spacing w:after="0" w:line="240" w:lineRule="auto"/>
            </w:pPr>
            <w:r>
              <w:rPr>
                <w:sz w:val="18"/>
              </w:rPr>
              <w:t>RASHODI POSLOVANJA (šifre 31+32+34+35+36+37+38)</w:t>
            </w:r>
          </w:p>
        </w:tc>
        <w:tc>
          <w:tcPr>
            <w:tcW w:w="700" w:type="dxa"/>
            <w:tcMar>
              <w:top w:w="0" w:type="dxa"/>
              <w:bottom w:w="0" w:type="dxa"/>
            </w:tcMar>
            <w:vAlign w:val="center"/>
          </w:tcPr>
          <w:p w14:paraId="62CA8CE9" w14:textId="77777777" w:rsidR="0010088D" w:rsidRDefault="00000000">
            <w:pPr>
              <w:keepNext/>
              <w:keepLines/>
              <w:spacing w:after="0" w:line="240" w:lineRule="auto"/>
            </w:pPr>
            <w:r>
              <w:rPr>
                <w:sz w:val="18"/>
              </w:rPr>
              <w:t>3</w:t>
            </w:r>
          </w:p>
        </w:tc>
        <w:tc>
          <w:tcPr>
            <w:tcW w:w="1860" w:type="dxa"/>
            <w:tcMar>
              <w:top w:w="0" w:type="dxa"/>
              <w:bottom w:w="0" w:type="dxa"/>
            </w:tcMar>
            <w:vAlign w:val="center"/>
          </w:tcPr>
          <w:p w14:paraId="0F8CBED5" w14:textId="77777777" w:rsidR="0010088D" w:rsidRDefault="00000000">
            <w:pPr>
              <w:keepNext/>
              <w:keepLines/>
              <w:spacing w:after="0" w:line="240" w:lineRule="auto"/>
              <w:jc w:val="right"/>
            </w:pPr>
            <w:r>
              <w:rPr>
                <w:sz w:val="18"/>
              </w:rPr>
              <w:t>291.946,51</w:t>
            </w:r>
          </w:p>
        </w:tc>
        <w:tc>
          <w:tcPr>
            <w:tcW w:w="1860" w:type="dxa"/>
            <w:tcMar>
              <w:top w:w="0" w:type="dxa"/>
              <w:bottom w:w="0" w:type="dxa"/>
            </w:tcMar>
            <w:vAlign w:val="center"/>
          </w:tcPr>
          <w:p w14:paraId="2581B258" w14:textId="77777777" w:rsidR="0010088D" w:rsidRDefault="00000000">
            <w:pPr>
              <w:keepNext/>
              <w:keepLines/>
              <w:spacing w:after="0" w:line="240" w:lineRule="auto"/>
              <w:jc w:val="right"/>
            </w:pPr>
            <w:r>
              <w:rPr>
                <w:sz w:val="18"/>
              </w:rPr>
              <w:t>506.095,28</w:t>
            </w:r>
          </w:p>
        </w:tc>
        <w:tc>
          <w:tcPr>
            <w:tcW w:w="700" w:type="dxa"/>
            <w:tcMar>
              <w:top w:w="0" w:type="dxa"/>
              <w:bottom w:w="0" w:type="dxa"/>
            </w:tcMar>
            <w:vAlign w:val="center"/>
          </w:tcPr>
          <w:p w14:paraId="7BA39FF3" w14:textId="77777777" w:rsidR="0010088D" w:rsidRDefault="00000000">
            <w:pPr>
              <w:keepNext/>
              <w:keepLines/>
              <w:spacing w:after="0" w:line="240" w:lineRule="auto"/>
              <w:jc w:val="right"/>
            </w:pPr>
            <w:r>
              <w:rPr>
                <w:sz w:val="18"/>
              </w:rPr>
              <w:t>173,4</w:t>
            </w:r>
          </w:p>
        </w:tc>
      </w:tr>
      <w:tr w:rsidR="0010088D" w14:paraId="26976157" w14:textId="77777777">
        <w:tblPrEx>
          <w:tblCellMar>
            <w:top w:w="0" w:type="dxa"/>
            <w:bottom w:w="0" w:type="dxa"/>
          </w:tblCellMar>
        </w:tblPrEx>
        <w:trPr>
          <w:cantSplit/>
          <w:trHeight w:val="560"/>
        </w:trPr>
        <w:tc>
          <w:tcPr>
            <w:tcW w:w="700" w:type="dxa"/>
            <w:tcMar>
              <w:top w:w="0" w:type="dxa"/>
              <w:bottom w:w="0" w:type="dxa"/>
            </w:tcMar>
            <w:vAlign w:val="center"/>
          </w:tcPr>
          <w:p w14:paraId="50A9F073" w14:textId="77777777" w:rsidR="0010088D" w:rsidRDefault="0010088D">
            <w:pPr>
              <w:keepNext/>
              <w:keepLines/>
              <w:spacing w:after="0" w:line="240" w:lineRule="auto"/>
            </w:pPr>
          </w:p>
        </w:tc>
        <w:tc>
          <w:tcPr>
            <w:tcW w:w="3180" w:type="dxa"/>
            <w:tcMar>
              <w:top w:w="0" w:type="dxa"/>
              <w:bottom w:w="0" w:type="dxa"/>
            </w:tcMar>
            <w:vAlign w:val="center"/>
          </w:tcPr>
          <w:p w14:paraId="227A50C8" w14:textId="77777777" w:rsidR="0010088D" w:rsidRDefault="00000000">
            <w:pPr>
              <w:keepNext/>
              <w:keepLines/>
              <w:spacing w:after="0" w:line="240" w:lineRule="auto"/>
            </w:pPr>
            <w:r>
              <w:rPr>
                <w:b/>
                <w:sz w:val="18"/>
              </w:rPr>
              <w:t>MANJAK PRIHODA POSLOVANJA (šifre Z005-6)</w:t>
            </w:r>
          </w:p>
        </w:tc>
        <w:tc>
          <w:tcPr>
            <w:tcW w:w="700" w:type="dxa"/>
            <w:tcMar>
              <w:top w:w="0" w:type="dxa"/>
              <w:bottom w:w="0" w:type="dxa"/>
            </w:tcMar>
            <w:vAlign w:val="center"/>
          </w:tcPr>
          <w:p w14:paraId="4979DCCD" w14:textId="77777777" w:rsidR="0010088D" w:rsidRDefault="00000000">
            <w:pPr>
              <w:keepNext/>
              <w:keepLines/>
              <w:spacing w:after="0" w:line="240" w:lineRule="auto"/>
            </w:pPr>
            <w:r>
              <w:rPr>
                <w:b/>
                <w:sz w:val="18"/>
              </w:rPr>
              <w:t>Y001</w:t>
            </w:r>
          </w:p>
        </w:tc>
        <w:tc>
          <w:tcPr>
            <w:tcW w:w="1860" w:type="dxa"/>
            <w:tcMar>
              <w:top w:w="0" w:type="dxa"/>
              <w:bottom w:w="0" w:type="dxa"/>
            </w:tcMar>
            <w:vAlign w:val="center"/>
          </w:tcPr>
          <w:p w14:paraId="63187DA3" w14:textId="77777777" w:rsidR="0010088D" w:rsidRDefault="00000000">
            <w:pPr>
              <w:keepNext/>
              <w:keepLines/>
              <w:spacing w:after="0" w:line="240" w:lineRule="auto"/>
              <w:jc w:val="right"/>
            </w:pPr>
            <w:r>
              <w:rPr>
                <w:b/>
                <w:sz w:val="18"/>
              </w:rPr>
              <w:t>0,00</w:t>
            </w:r>
          </w:p>
        </w:tc>
        <w:tc>
          <w:tcPr>
            <w:tcW w:w="1860" w:type="dxa"/>
            <w:tcMar>
              <w:top w:w="0" w:type="dxa"/>
              <w:bottom w:w="0" w:type="dxa"/>
            </w:tcMar>
            <w:vAlign w:val="center"/>
          </w:tcPr>
          <w:p w14:paraId="3D98B5E6" w14:textId="77777777" w:rsidR="0010088D" w:rsidRDefault="00000000">
            <w:pPr>
              <w:keepNext/>
              <w:keepLines/>
              <w:spacing w:after="0" w:line="240" w:lineRule="auto"/>
              <w:jc w:val="right"/>
            </w:pPr>
            <w:r>
              <w:rPr>
                <w:b/>
                <w:sz w:val="18"/>
              </w:rPr>
              <w:t>71.778,28</w:t>
            </w:r>
          </w:p>
        </w:tc>
        <w:tc>
          <w:tcPr>
            <w:tcW w:w="700" w:type="dxa"/>
            <w:tcMar>
              <w:top w:w="0" w:type="dxa"/>
              <w:bottom w:w="0" w:type="dxa"/>
            </w:tcMar>
            <w:vAlign w:val="center"/>
          </w:tcPr>
          <w:p w14:paraId="268710AC" w14:textId="77777777" w:rsidR="0010088D" w:rsidRDefault="00000000">
            <w:pPr>
              <w:keepNext/>
              <w:keepLines/>
              <w:spacing w:after="0" w:line="240" w:lineRule="auto"/>
              <w:jc w:val="right"/>
            </w:pPr>
            <w:r>
              <w:rPr>
                <w:b/>
                <w:sz w:val="18"/>
              </w:rPr>
              <w:t>-</w:t>
            </w:r>
          </w:p>
        </w:tc>
      </w:tr>
      <w:tr w:rsidR="0010088D" w14:paraId="1046E899" w14:textId="77777777">
        <w:tblPrEx>
          <w:tblCellMar>
            <w:top w:w="0" w:type="dxa"/>
            <w:bottom w:w="0" w:type="dxa"/>
          </w:tblCellMar>
        </w:tblPrEx>
        <w:trPr>
          <w:cantSplit/>
          <w:trHeight w:val="560"/>
        </w:trPr>
        <w:tc>
          <w:tcPr>
            <w:tcW w:w="700" w:type="dxa"/>
            <w:tcMar>
              <w:top w:w="0" w:type="dxa"/>
              <w:bottom w:w="0" w:type="dxa"/>
            </w:tcMar>
            <w:vAlign w:val="center"/>
          </w:tcPr>
          <w:p w14:paraId="187E0BB1" w14:textId="77777777" w:rsidR="0010088D" w:rsidRDefault="00000000">
            <w:pPr>
              <w:keepNext/>
              <w:keepLines/>
              <w:spacing w:after="0" w:line="240" w:lineRule="auto"/>
            </w:pPr>
            <w:r>
              <w:rPr>
                <w:sz w:val="18"/>
              </w:rPr>
              <w:t>7</w:t>
            </w:r>
          </w:p>
        </w:tc>
        <w:tc>
          <w:tcPr>
            <w:tcW w:w="3180" w:type="dxa"/>
            <w:tcMar>
              <w:top w:w="0" w:type="dxa"/>
              <w:bottom w:w="0" w:type="dxa"/>
            </w:tcMar>
            <w:vAlign w:val="center"/>
          </w:tcPr>
          <w:p w14:paraId="36934AE9" w14:textId="77777777" w:rsidR="0010088D" w:rsidRDefault="00000000">
            <w:pPr>
              <w:keepNext/>
              <w:keepLines/>
              <w:spacing w:after="0" w:line="240" w:lineRule="auto"/>
            </w:pPr>
            <w:r>
              <w:rPr>
                <w:sz w:val="18"/>
              </w:rPr>
              <w:t>Prihodi od prodaje nefinancijske imovine (šifre 71+72+73+74)</w:t>
            </w:r>
          </w:p>
        </w:tc>
        <w:tc>
          <w:tcPr>
            <w:tcW w:w="700" w:type="dxa"/>
            <w:tcMar>
              <w:top w:w="0" w:type="dxa"/>
              <w:bottom w:w="0" w:type="dxa"/>
            </w:tcMar>
            <w:vAlign w:val="center"/>
          </w:tcPr>
          <w:p w14:paraId="4BAD9CAB" w14:textId="77777777" w:rsidR="0010088D" w:rsidRDefault="00000000">
            <w:pPr>
              <w:keepNext/>
              <w:keepLines/>
              <w:spacing w:after="0" w:line="240" w:lineRule="auto"/>
            </w:pPr>
            <w:r>
              <w:rPr>
                <w:sz w:val="18"/>
              </w:rPr>
              <w:t>7</w:t>
            </w:r>
          </w:p>
        </w:tc>
        <w:tc>
          <w:tcPr>
            <w:tcW w:w="1860" w:type="dxa"/>
            <w:tcMar>
              <w:top w:w="0" w:type="dxa"/>
              <w:bottom w:w="0" w:type="dxa"/>
            </w:tcMar>
            <w:vAlign w:val="center"/>
          </w:tcPr>
          <w:p w14:paraId="5E6025A9" w14:textId="77777777" w:rsidR="0010088D" w:rsidRDefault="00000000">
            <w:pPr>
              <w:keepNext/>
              <w:keepLines/>
              <w:spacing w:after="0" w:line="240" w:lineRule="auto"/>
              <w:jc w:val="right"/>
            </w:pPr>
            <w:r>
              <w:rPr>
                <w:sz w:val="18"/>
              </w:rPr>
              <w:t>0,00</w:t>
            </w:r>
          </w:p>
        </w:tc>
        <w:tc>
          <w:tcPr>
            <w:tcW w:w="1860" w:type="dxa"/>
            <w:tcMar>
              <w:top w:w="0" w:type="dxa"/>
              <w:bottom w:w="0" w:type="dxa"/>
            </w:tcMar>
            <w:vAlign w:val="center"/>
          </w:tcPr>
          <w:p w14:paraId="2991A08F" w14:textId="77777777" w:rsidR="0010088D" w:rsidRDefault="00000000">
            <w:pPr>
              <w:keepNext/>
              <w:keepLines/>
              <w:spacing w:after="0" w:line="240" w:lineRule="auto"/>
              <w:jc w:val="right"/>
            </w:pPr>
            <w:r>
              <w:rPr>
                <w:sz w:val="18"/>
              </w:rPr>
              <w:t>0,00</w:t>
            </w:r>
          </w:p>
        </w:tc>
        <w:tc>
          <w:tcPr>
            <w:tcW w:w="700" w:type="dxa"/>
            <w:tcMar>
              <w:top w:w="0" w:type="dxa"/>
              <w:bottom w:w="0" w:type="dxa"/>
            </w:tcMar>
            <w:vAlign w:val="center"/>
          </w:tcPr>
          <w:p w14:paraId="52C95175" w14:textId="77777777" w:rsidR="0010088D" w:rsidRDefault="00000000">
            <w:pPr>
              <w:keepNext/>
              <w:keepLines/>
              <w:spacing w:after="0" w:line="240" w:lineRule="auto"/>
              <w:jc w:val="right"/>
            </w:pPr>
            <w:r>
              <w:rPr>
                <w:sz w:val="18"/>
              </w:rPr>
              <w:t>-</w:t>
            </w:r>
          </w:p>
        </w:tc>
      </w:tr>
      <w:tr w:rsidR="0010088D" w14:paraId="20AA4AEA" w14:textId="77777777">
        <w:tblPrEx>
          <w:tblCellMar>
            <w:top w:w="0" w:type="dxa"/>
            <w:bottom w:w="0" w:type="dxa"/>
          </w:tblCellMar>
        </w:tblPrEx>
        <w:trPr>
          <w:cantSplit/>
          <w:trHeight w:val="560"/>
        </w:trPr>
        <w:tc>
          <w:tcPr>
            <w:tcW w:w="700" w:type="dxa"/>
            <w:tcMar>
              <w:top w:w="0" w:type="dxa"/>
              <w:bottom w:w="0" w:type="dxa"/>
            </w:tcMar>
            <w:vAlign w:val="center"/>
          </w:tcPr>
          <w:p w14:paraId="0B55E910" w14:textId="77777777" w:rsidR="0010088D" w:rsidRDefault="00000000">
            <w:pPr>
              <w:keepNext/>
              <w:keepLines/>
              <w:spacing w:after="0" w:line="240" w:lineRule="auto"/>
            </w:pPr>
            <w:r>
              <w:rPr>
                <w:sz w:val="18"/>
              </w:rPr>
              <w:t>4</w:t>
            </w:r>
          </w:p>
        </w:tc>
        <w:tc>
          <w:tcPr>
            <w:tcW w:w="3180" w:type="dxa"/>
            <w:tcMar>
              <w:top w:w="0" w:type="dxa"/>
              <w:bottom w:w="0" w:type="dxa"/>
            </w:tcMar>
            <w:vAlign w:val="center"/>
          </w:tcPr>
          <w:p w14:paraId="79DAB61E" w14:textId="77777777" w:rsidR="0010088D" w:rsidRDefault="00000000">
            <w:pPr>
              <w:keepNext/>
              <w:keepLines/>
              <w:spacing w:after="0" w:line="240" w:lineRule="auto"/>
            </w:pPr>
            <w:r>
              <w:rPr>
                <w:sz w:val="18"/>
              </w:rPr>
              <w:t>Rashodi za nabavu nefinancijske imovine (šifre 41+42+43+44+45)</w:t>
            </w:r>
          </w:p>
        </w:tc>
        <w:tc>
          <w:tcPr>
            <w:tcW w:w="700" w:type="dxa"/>
            <w:tcMar>
              <w:top w:w="0" w:type="dxa"/>
              <w:bottom w:w="0" w:type="dxa"/>
            </w:tcMar>
            <w:vAlign w:val="center"/>
          </w:tcPr>
          <w:p w14:paraId="56899CA6" w14:textId="77777777" w:rsidR="0010088D" w:rsidRDefault="00000000">
            <w:pPr>
              <w:keepNext/>
              <w:keepLines/>
              <w:spacing w:after="0" w:line="240" w:lineRule="auto"/>
            </w:pPr>
            <w:r>
              <w:rPr>
                <w:sz w:val="18"/>
              </w:rPr>
              <w:t>4</w:t>
            </w:r>
          </w:p>
        </w:tc>
        <w:tc>
          <w:tcPr>
            <w:tcW w:w="1860" w:type="dxa"/>
            <w:tcMar>
              <w:top w:w="0" w:type="dxa"/>
              <w:bottom w:w="0" w:type="dxa"/>
            </w:tcMar>
            <w:vAlign w:val="center"/>
          </w:tcPr>
          <w:p w14:paraId="784B80F7" w14:textId="77777777" w:rsidR="0010088D" w:rsidRDefault="00000000">
            <w:pPr>
              <w:keepNext/>
              <w:keepLines/>
              <w:spacing w:after="0" w:line="240" w:lineRule="auto"/>
              <w:jc w:val="right"/>
            </w:pPr>
            <w:r>
              <w:rPr>
                <w:sz w:val="18"/>
              </w:rPr>
              <w:t>3.564,15</w:t>
            </w:r>
          </w:p>
        </w:tc>
        <w:tc>
          <w:tcPr>
            <w:tcW w:w="1860" w:type="dxa"/>
            <w:tcMar>
              <w:top w:w="0" w:type="dxa"/>
              <w:bottom w:w="0" w:type="dxa"/>
            </w:tcMar>
            <w:vAlign w:val="center"/>
          </w:tcPr>
          <w:p w14:paraId="039F7CD2" w14:textId="77777777" w:rsidR="0010088D" w:rsidRDefault="00000000">
            <w:pPr>
              <w:keepNext/>
              <w:keepLines/>
              <w:spacing w:after="0" w:line="240" w:lineRule="auto"/>
              <w:jc w:val="right"/>
            </w:pPr>
            <w:r>
              <w:rPr>
                <w:sz w:val="18"/>
              </w:rPr>
              <w:t>0,00</w:t>
            </w:r>
          </w:p>
        </w:tc>
        <w:tc>
          <w:tcPr>
            <w:tcW w:w="700" w:type="dxa"/>
            <w:tcMar>
              <w:top w:w="0" w:type="dxa"/>
              <w:bottom w:w="0" w:type="dxa"/>
            </w:tcMar>
            <w:vAlign w:val="center"/>
          </w:tcPr>
          <w:p w14:paraId="188425C9" w14:textId="77777777" w:rsidR="0010088D" w:rsidRDefault="00000000">
            <w:pPr>
              <w:keepNext/>
              <w:keepLines/>
              <w:spacing w:after="0" w:line="240" w:lineRule="auto"/>
              <w:jc w:val="right"/>
            </w:pPr>
            <w:r>
              <w:rPr>
                <w:sz w:val="18"/>
              </w:rPr>
              <w:t>0</w:t>
            </w:r>
          </w:p>
        </w:tc>
      </w:tr>
      <w:tr w:rsidR="0010088D" w14:paraId="304EA715" w14:textId="77777777">
        <w:tblPrEx>
          <w:tblCellMar>
            <w:top w:w="0" w:type="dxa"/>
            <w:bottom w:w="0" w:type="dxa"/>
          </w:tblCellMar>
        </w:tblPrEx>
        <w:trPr>
          <w:cantSplit/>
          <w:trHeight w:val="560"/>
        </w:trPr>
        <w:tc>
          <w:tcPr>
            <w:tcW w:w="700" w:type="dxa"/>
            <w:tcMar>
              <w:top w:w="0" w:type="dxa"/>
              <w:bottom w:w="0" w:type="dxa"/>
            </w:tcMar>
            <w:vAlign w:val="center"/>
          </w:tcPr>
          <w:p w14:paraId="4008C401" w14:textId="77777777" w:rsidR="0010088D" w:rsidRDefault="0010088D">
            <w:pPr>
              <w:keepNext/>
              <w:keepLines/>
              <w:spacing w:after="0" w:line="240" w:lineRule="auto"/>
            </w:pPr>
          </w:p>
        </w:tc>
        <w:tc>
          <w:tcPr>
            <w:tcW w:w="3180" w:type="dxa"/>
            <w:tcMar>
              <w:top w:w="0" w:type="dxa"/>
              <w:bottom w:w="0" w:type="dxa"/>
            </w:tcMar>
            <w:vAlign w:val="center"/>
          </w:tcPr>
          <w:p w14:paraId="2B5441C4" w14:textId="77777777" w:rsidR="0010088D" w:rsidRDefault="00000000">
            <w:pPr>
              <w:keepNext/>
              <w:keepLines/>
              <w:spacing w:after="0" w:line="240" w:lineRule="auto"/>
            </w:pPr>
            <w:r>
              <w:rPr>
                <w:b/>
                <w:sz w:val="18"/>
              </w:rPr>
              <w:t>VIŠAK/MANJAK PRIHODA OD NEFINANCIJSKE IMOVINE (šifre 7-4, 4-7)</w:t>
            </w:r>
          </w:p>
        </w:tc>
        <w:tc>
          <w:tcPr>
            <w:tcW w:w="700" w:type="dxa"/>
            <w:tcMar>
              <w:top w:w="0" w:type="dxa"/>
              <w:bottom w:w="0" w:type="dxa"/>
            </w:tcMar>
            <w:vAlign w:val="center"/>
          </w:tcPr>
          <w:p w14:paraId="5A6BC927" w14:textId="77777777" w:rsidR="0010088D" w:rsidRDefault="00000000">
            <w:pPr>
              <w:keepNext/>
              <w:keepLines/>
              <w:spacing w:after="0" w:line="240" w:lineRule="auto"/>
            </w:pPr>
            <w:r>
              <w:rPr>
                <w:b/>
                <w:sz w:val="18"/>
              </w:rPr>
              <w:t>X002, Y002</w:t>
            </w:r>
          </w:p>
        </w:tc>
        <w:tc>
          <w:tcPr>
            <w:tcW w:w="1860" w:type="dxa"/>
            <w:tcMar>
              <w:top w:w="0" w:type="dxa"/>
              <w:bottom w:w="0" w:type="dxa"/>
            </w:tcMar>
            <w:vAlign w:val="center"/>
          </w:tcPr>
          <w:p w14:paraId="7410CBE9" w14:textId="77777777" w:rsidR="0010088D" w:rsidRDefault="00000000">
            <w:pPr>
              <w:keepNext/>
              <w:keepLines/>
              <w:spacing w:after="0" w:line="240" w:lineRule="auto"/>
              <w:jc w:val="right"/>
            </w:pPr>
            <w:r>
              <w:rPr>
                <w:b/>
                <w:sz w:val="18"/>
              </w:rPr>
              <w:t>3.564,15</w:t>
            </w:r>
          </w:p>
        </w:tc>
        <w:tc>
          <w:tcPr>
            <w:tcW w:w="1860" w:type="dxa"/>
            <w:tcMar>
              <w:top w:w="0" w:type="dxa"/>
              <w:bottom w:w="0" w:type="dxa"/>
            </w:tcMar>
            <w:vAlign w:val="center"/>
          </w:tcPr>
          <w:p w14:paraId="436B9551" w14:textId="77777777" w:rsidR="0010088D" w:rsidRDefault="00000000">
            <w:pPr>
              <w:keepNext/>
              <w:keepLines/>
              <w:spacing w:after="0" w:line="240" w:lineRule="auto"/>
              <w:jc w:val="right"/>
            </w:pPr>
            <w:r>
              <w:rPr>
                <w:b/>
                <w:sz w:val="18"/>
              </w:rPr>
              <w:t>0,00</w:t>
            </w:r>
          </w:p>
        </w:tc>
        <w:tc>
          <w:tcPr>
            <w:tcW w:w="700" w:type="dxa"/>
            <w:tcMar>
              <w:top w:w="0" w:type="dxa"/>
              <w:bottom w:w="0" w:type="dxa"/>
            </w:tcMar>
            <w:vAlign w:val="center"/>
          </w:tcPr>
          <w:p w14:paraId="114C1F04" w14:textId="77777777" w:rsidR="0010088D" w:rsidRDefault="00000000">
            <w:pPr>
              <w:keepNext/>
              <w:keepLines/>
              <w:spacing w:after="0" w:line="240" w:lineRule="auto"/>
              <w:jc w:val="right"/>
            </w:pPr>
            <w:r>
              <w:rPr>
                <w:b/>
                <w:sz w:val="18"/>
              </w:rPr>
              <w:t>0</w:t>
            </w:r>
          </w:p>
        </w:tc>
      </w:tr>
      <w:tr w:rsidR="0010088D" w14:paraId="3DBB071D" w14:textId="77777777">
        <w:tblPrEx>
          <w:tblCellMar>
            <w:top w:w="0" w:type="dxa"/>
            <w:bottom w:w="0" w:type="dxa"/>
          </w:tblCellMar>
        </w:tblPrEx>
        <w:trPr>
          <w:cantSplit/>
          <w:trHeight w:val="560"/>
        </w:trPr>
        <w:tc>
          <w:tcPr>
            <w:tcW w:w="700" w:type="dxa"/>
            <w:tcMar>
              <w:top w:w="0" w:type="dxa"/>
              <w:bottom w:w="0" w:type="dxa"/>
            </w:tcMar>
            <w:vAlign w:val="center"/>
          </w:tcPr>
          <w:p w14:paraId="546CA72C" w14:textId="77777777" w:rsidR="0010088D" w:rsidRDefault="00000000">
            <w:pPr>
              <w:keepNext/>
              <w:keepLines/>
              <w:spacing w:after="0" w:line="240" w:lineRule="auto"/>
            </w:pPr>
            <w:r>
              <w:rPr>
                <w:sz w:val="18"/>
              </w:rPr>
              <w:t>8</w:t>
            </w:r>
          </w:p>
        </w:tc>
        <w:tc>
          <w:tcPr>
            <w:tcW w:w="3180" w:type="dxa"/>
            <w:tcMar>
              <w:top w:w="0" w:type="dxa"/>
              <w:bottom w:w="0" w:type="dxa"/>
            </w:tcMar>
            <w:vAlign w:val="center"/>
          </w:tcPr>
          <w:p w14:paraId="675614F4" w14:textId="77777777" w:rsidR="0010088D" w:rsidRDefault="00000000">
            <w:pPr>
              <w:keepNext/>
              <w:keepLines/>
              <w:spacing w:after="0" w:line="240" w:lineRule="auto"/>
            </w:pPr>
            <w:r>
              <w:rPr>
                <w:sz w:val="18"/>
              </w:rPr>
              <w:t>Primici od financijske imovine i zaduživanja (šifre 81+82+83+84+85)</w:t>
            </w:r>
          </w:p>
        </w:tc>
        <w:tc>
          <w:tcPr>
            <w:tcW w:w="700" w:type="dxa"/>
            <w:tcMar>
              <w:top w:w="0" w:type="dxa"/>
              <w:bottom w:w="0" w:type="dxa"/>
            </w:tcMar>
            <w:vAlign w:val="center"/>
          </w:tcPr>
          <w:p w14:paraId="6C6EC9E7" w14:textId="77777777" w:rsidR="0010088D" w:rsidRDefault="00000000">
            <w:pPr>
              <w:keepNext/>
              <w:keepLines/>
              <w:spacing w:after="0" w:line="240" w:lineRule="auto"/>
            </w:pPr>
            <w:r>
              <w:rPr>
                <w:sz w:val="18"/>
              </w:rPr>
              <w:t>8</w:t>
            </w:r>
          </w:p>
        </w:tc>
        <w:tc>
          <w:tcPr>
            <w:tcW w:w="1860" w:type="dxa"/>
            <w:tcMar>
              <w:top w:w="0" w:type="dxa"/>
              <w:bottom w:w="0" w:type="dxa"/>
            </w:tcMar>
            <w:vAlign w:val="center"/>
          </w:tcPr>
          <w:p w14:paraId="71448705" w14:textId="77777777" w:rsidR="0010088D" w:rsidRDefault="00000000">
            <w:pPr>
              <w:keepNext/>
              <w:keepLines/>
              <w:spacing w:after="0" w:line="240" w:lineRule="auto"/>
              <w:jc w:val="right"/>
            </w:pPr>
            <w:r>
              <w:rPr>
                <w:sz w:val="18"/>
              </w:rPr>
              <w:t>0,00</w:t>
            </w:r>
          </w:p>
        </w:tc>
        <w:tc>
          <w:tcPr>
            <w:tcW w:w="1860" w:type="dxa"/>
            <w:tcMar>
              <w:top w:w="0" w:type="dxa"/>
              <w:bottom w:w="0" w:type="dxa"/>
            </w:tcMar>
            <w:vAlign w:val="center"/>
          </w:tcPr>
          <w:p w14:paraId="6CFCBE6E" w14:textId="77777777" w:rsidR="0010088D" w:rsidRDefault="00000000">
            <w:pPr>
              <w:keepNext/>
              <w:keepLines/>
              <w:spacing w:after="0" w:line="240" w:lineRule="auto"/>
              <w:jc w:val="right"/>
            </w:pPr>
            <w:r>
              <w:rPr>
                <w:sz w:val="18"/>
              </w:rPr>
              <w:t>0,00</w:t>
            </w:r>
          </w:p>
        </w:tc>
        <w:tc>
          <w:tcPr>
            <w:tcW w:w="700" w:type="dxa"/>
            <w:tcMar>
              <w:top w:w="0" w:type="dxa"/>
              <w:bottom w:w="0" w:type="dxa"/>
            </w:tcMar>
            <w:vAlign w:val="center"/>
          </w:tcPr>
          <w:p w14:paraId="3722664A" w14:textId="77777777" w:rsidR="0010088D" w:rsidRDefault="00000000">
            <w:pPr>
              <w:keepNext/>
              <w:keepLines/>
              <w:spacing w:after="0" w:line="240" w:lineRule="auto"/>
              <w:jc w:val="right"/>
            </w:pPr>
            <w:r>
              <w:rPr>
                <w:sz w:val="18"/>
              </w:rPr>
              <w:t>-</w:t>
            </w:r>
          </w:p>
        </w:tc>
      </w:tr>
      <w:tr w:rsidR="0010088D" w14:paraId="733DD0F7" w14:textId="77777777">
        <w:tblPrEx>
          <w:tblCellMar>
            <w:top w:w="0" w:type="dxa"/>
            <w:bottom w:w="0" w:type="dxa"/>
          </w:tblCellMar>
        </w:tblPrEx>
        <w:trPr>
          <w:cantSplit/>
          <w:trHeight w:val="560"/>
        </w:trPr>
        <w:tc>
          <w:tcPr>
            <w:tcW w:w="700" w:type="dxa"/>
            <w:tcMar>
              <w:top w:w="0" w:type="dxa"/>
              <w:bottom w:w="0" w:type="dxa"/>
            </w:tcMar>
            <w:vAlign w:val="center"/>
          </w:tcPr>
          <w:p w14:paraId="4B0CC265" w14:textId="77777777" w:rsidR="0010088D" w:rsidRDefault="00000000">
            <w:pPr>
              <w:keepNext/>
              <w:keepLines/>
              <w:spacing w:after="0" w:line="240" w:lineRule="auto"/>
            </w:pPr>
            <w:r>
              <w:rPr>
                <w:sz w:val="18"/>
              </w:rPr>
              <w:t>5</w:t>
            </w:r>
          </w:p>
        </w:tc>
        <w:tc>
          <w:tcPr>
            <w:tcW w:w="3180" w:type="dxa"/>
            <w:tcMar>
              <w:top w:w="0" w:type="dxa"/>
              <w:bottom w:w="0" w:type="dxa"/>
            </w:tcMar>
            <w:vAlign w:val="center"/>
          </w:tcPr>
          <w:p w14:paraId="438A74E2" w14:textId="77777777" w:rsidR="0010088D" w:rsidRDefault="00000000">
            <w:pPr>
              <w:keepNext/>
              <w:keepLines/>
              <w:spacing w:after="0" w:line="240" w:lineRule="auto"/>
            </w:pPr>
            <w:r>
              <w:rPr>
                <w:sz w:val="18"/>
              </w:rPr>
              <w:t>Izdaci za financijsku imovinu i otplate zajmova (šifre 51+52+53+54+55)</w:t>
            </w:r>
          </w:p>
        </w:tc>
        <w:tc>
          <w:tcPr>
            <w:tcW w:w="700" w:type="dxa"/>
            <w:tcMar>
              <w:top w:w="0" w:type="dxa"/>
              <w:bottom w:w="0" w:type="dxa"/>
            </w:tcMar>
            <w:vAlign w:val="center"/>
          </w:tcPr>
          <w:p w14:paraId="31B2D3ED" w14:textId="77777777" w:rsidR="0010088D" w:rsidRDefault="00000000">
            <w:pPr>
              <w:keepNext/>
              <w:keepLines/>
              <w:spacing w:after="0" w:line="240" w:lineRule="auto"/>
            </w:pPr>
            <w:r>
              <w:rPr>
                <w:sz w:val="18"/>
              </w:rPr>
              <w:t>5</w:t>
            </w:r>
          </w:p>
        </w:tc>
        <w:tc>
          <w:tcPr>
            <w:tcW w:w="1860" w:type="dxa"/>
            <w:tcMar>
              <w:top w:w="0" w:type="dxa"/>
              <w:bottom w:w="0" w:type="dxa"/>
            </w:tcMar>
            <w:vAlign w:val="center"/>
          </w:tcPr>
          <w:p w14:paraId="3478EC10" w14:textId="77777777" w:rsidR="0010088D" w:rsidRDefault="00000000">
            <w:pPr>
              <w:keepNext/>
              <w:keepLines/>
              <w:spacing w:after="0" w:line="240" w:lineRule="auto"/>
              <w:jc w:val="right"/>
            </w:pPr>
            <w:r>
              <w:rPr>
                <w:sz w:val="18"/>
              </w:rPr>
              <w:t>0,00</w:t>
            </w:r>
          </w:p>
        </w:tc>
        <w:tc>
          <w:tcPr>
            <w:tcW w:w="1860" w:type="dxa"/>
            <w:tcMar>
              <w:top w:w="0" w:type="dxa"/>
              <w:bottom w:w="0" w:type="dxa"/>
            </w:tcMar>
            <w:vAlign w:val="center"/>
          </w:tcPr>
          <w:p w14:paraId="1E04E7CC" w14:textId="77777777" w:rsidR="0010088D" w:rsidRDefault="00000000">
            <w:pPr>
              <w:keepNext/>
              <w:keepLines/>
              <w:spacing w:after="0" w:line="240" w:lineRule="auto"/>
              <w:jc w:val="right"/>
            </w:pPr>
            <w:r>
              <w:rPr>
                <w:sz w:val="18"/>
              </w:rPr>
              <w:t>0,00</w:t>
            </w:r>
          </w:p>
        </w:tc>
        <w:tc>
          <w:tcPr>
            <w:tcW w:w="700" w:type="dxa"/>
            <w:tcMar>
              <w:top w:w="0" w:type="dxa"/>
              <w:bottom w:w="0" w:type="dxa"/>
            </w:tcMar>
            <w:vAlign w:val="center"/>
          </w:tcPr>
          <w:p w14:paraId="3D3D499D" w14:textId="77777777" w:rsidR="0010088D" w:rsidRDefault="00000000">
            <w:pPr>
              <w:keepNext/>
              <w:keepLines/>
              <w:spacing w:after="0" w:line="240" w:lineRule="auto"/>
              <w:jc w:val="right"/>
            </w:pPr>
            <w:r>
              <w:rPr>
                <w:sz w:val="18"/>
              </w:rPr>
              <w:t>-</w:t>
            </w:r>
          </w:p>
        </w:tc>
      </w:tr>
      <w:tr w:rsidR="0010088D" w14:paraId="3244F625" w14:textId="77777777">
        <w:tblPrEx>
          <w:tblCellMar>
            <w:top w:w="0" w:type="dxa"/>
            <w:bottom w:w="0" w:type="dxa"/>
          </w:tblCellMar>
        </w:tblPrEx>
        <w:trPr>
          <w:cantSplit/>
          <w:trHeight w:val="560"/>
        </w:trPr>
        <w:tc>
          <w:tcPr>
            <w:tcW w:w="700" w:type="dxa"/>
            <w:tcMar>
              <w:top w:w="0" w:type="dxa"/>
              <w:bottom w:w="0" w:type="dxa"/>
            </w:tcMar>
            <w:vAlign w:val="center"/>
          </w:tcPr>
          <w:p w14:paraId="25869821" w14:textId="77777777" w:rsidR="0010088D" w:rsidRDefault="0010088D">
            <w:pPr>
              <w:keepNext/>
              <w:keepLines/>
              <w:spacing w:after="0" w:line="240" w:lineRule="auto"/>
            </w:pPr>
          </w:p>
        </w:tc>
        <w:tc>
          <w:tcPr>
            <w:tcW w:w="3180" w:type="dxa"/>
            <w:tcMar>
              <w:top w:w="0" w:type="dxa"/>
              <w:bottom w:w="0" w:type="dxa"/>
            </w:tcMar>
            <w:vAlign w:val="center"/>
          </w:tcPr>
          <w:p w14:paraId="37870254" w14:textId="77777777" w:rsidR="0010088D" w:rsidRDefault="00000000">
            <w:pPr>
              <w:keepNext/>
              <w:keepLines/>
              <w:spacing w:after="0" w:line="240" w:lineRule="auto"/>
            </w:pPr>
            <w:r>
              <w:rPr>
                <w:b/>
                <w:sz w:val="18"/>
              </w:rPr>
              <w:t>VIŠAK/MANJAK PRIMITAKA OD FINANCIJSKE IMOVINE I ZADUŽIVANJA (šifre 8-5, 5-8)</w:t>
            </w:r>
          </w:p>
        </w:tc>
        <w:tc>
          <w:tcPr>
            <w:tcW w:w="700" w:type="dxa"/>
            <w:tcMar>
              <w:top w:w="0" w:type="dxa"/>
              <w:bottom w:w="0" w:type="dxa"/>
            </w:tcMar>
            <w:vAlign w:val="center"/>
          </w:tcPr>
          <w:p w14:paraId="51713046" w14:textId="77777777" w:rsidR="0010088D" w:rsidRDefault="00000000">
            <w:pPr>
              <w:keepNext/>
              <w:keepLines/>
              <w:spacing w:after="0" w:line="240" w:lineRule="auto"/>
            </w:pPr>
            <w:r>
              <w:rPr>
                <w:b/>
                <w:sz w:val="18"/>
              </w:rPr>
              <w:t>X003, Y003</w:t>
            </w:r>
          </w:p>
        </w:tc>
        <w:tc>
          <w:tcPr>
            <w:tcW w:w="1860" w:type="dxa"/>
            <w:tcMar>
              <w:top w:w="0" w:type="dxa"/>
              <w:bottom w:w="0" w:type="dxa"/>
            </w:tcMar>
            <w:vAlign w:val="center"/>
          </w:tcPr>
          <w:p w14:paraId="7E55CC83" w14:textId="77777777" w:rsidR="0010088D" w:rsidRDefault="00000000">
            <w:pPr>
              <w:keepNext/>
              <w:keepLines/>
              <w:spacing w:after="0" w:line="240" w:lineRule="auto"/>
              <w:jc w:val="right"/>
            </w:pPr>
            <w:r>
              <w:rPr>
                <w:b/>
                <w:sz w:val="18"/>
              </w:rPr>
              <w:t>0,00</w:t>
            </w:r>
          </w:p>
        </w:tc>
        <w:tc>
          <w:tcPr>
            <w:tcW w:w="1860" w:type="dxa"/>
            <w:tcMar>
              <w:top w:w="0" w:type="dxa"/>
              <w:bottom w:w="0" w:type="dxa"/>
            </w:tcMar>
            <w:vAlign w:val="center"/>
          </w:tcPr>
          <w:p w14:paraId="3C93AAB0" w14:textId="77777777" w:rsidR="0010088D" w:rsidRDefault="00000000">
            <w:pPr>
              <w:keepNext/>
              <w:keepLines/>
              <w:spacing w:after="0" w:line="240" w:lineRule="auto"/>
              <w:jc w:val="right"/>
            </w:pPr>
            <w:r>
              <w:rPr>
                <w:b/>
                <w:sz w:val="18"/>
              </w:rPr>
              <w:t>0,00</w:t>
            </w:r>
          </w:p>
        </w:tc>
        <w:tc>
          <w:tcPr>
            <w:tcW w:w="700" w:type="dxa"/>
            <w:tcMar>
              <w:top w:w="0" w:type="dxa"/>
              <w:bottom w:w="0" w:type="dxa"/>
            </w:tcMar>
            <w:vAlign w:val="center"/>
          </w:tcPr>
          <w:p w14:paraId="0807E766" w14:textId="77777777" w:rsidR="0010088D" w:rsidRDefault="00000000">
            <w:pPr>
              <w:keepNext/>
              <w:keepLines/>
              <w:spacing w:after="0" w:line="240" w:lineRule="auto"/>
              <w:jc w:val="right"/>
            </w:pPr>
            <w:r>
              <w:rPr>
                <w:b/>
                <w:sz w:val="18"/>
              </w:rPr>
              <w:t>-</w:t>
            </w:r>
          </w:p>
        </w:tc>
      </w:tr>
      <w:tr w:rsidR="0010088D" w14:paraId="75FADB90" w14:textId="77777777">
        <w:tblPrEx>
          <w:tblCellMar>
            <w:top w:w="0" w:type="dxa"/>
            <w:bottom w:w="0" w:type="dxa"/>
          </w:tblCellMar>
        </w:tblPrEx>
        <w:trPr>
          <w:cantSplit/>
          <w:trHeight w:val="560"/>
        </w:trPr>
        <w:tc>
          <w:tcPr>
            <w:tcW w:w="700" w:type="dxa"/>
            <w:tcMar>
              <w:top w:w="0" w:type="dxa"/>
              <w:bottom w:w="0" w:type="dxa"/>
            </w:tcMar>
            <w:vAlign w:val="center"/>
          </w:tcPr>
          <w:p w14:paraId="1AA3A4DD" w14:textId="77777777" w:rsidR="0010088D" w:rsidRDefault="0010088D">
            <w:pPr>
              <w:keepNext/>
              <w:keepLines/>
              <w:spacing w:after="0" w:line="240" w:lineRule="auto"/>
            </w:pPr>
          </w:p>
        </w:tc>
        <w:tc>
          <w:tcPr>
            <w:tcW w:w="3180" w:type="dxa"/>
            <w:tcMar>
              <w:top w:w="0" w:type="dxa"/>
              <w:bottom w:w="0" w:type="dxa"/>
            </w:tcMar>
            <w:vAlign w:val="center"/>
          </w:tcPr>
          <w:p w14:paraId="12F86756" w14:textId="77777777" w:rsidR="0010088D" w:rsidRDefault="00000000">
            <w:pPr>
              <w:keepNext/>
              <w:keepLines/>
              <w:spacing w:after="0" w:line="240" w:lineRule="auto"/>
            </w:pPr>
            <w:r>
              <w:rPr>
                <w:b/>
                <w:sz w:val="18"/>
              </w:rPr>
              <w:t>MANJAK PRIHODA I PRIMITAKA (šifre Y345-X678)</w:t>
            </w:r>
          </w:p>
        </w:tc>
        <w:tc>
          <w:tcPr>
            <w:tcW w:w="700" w:type="dxa"/>
            <w:tcMar>
              <w:top w:w="0" w:type="dxa"/>
              <w:bottom w:w="0" w:type="dxa"/>
            </w:tcMar>
            <w:vAlign w:val="center"/>
          </w:tcPr>
          <w:p w14:paraId="5EA118CB" w14:textId="77777777" w:rsidR="0010088D" w:rsidRDefault="00000000">
            <w:pPr>
              <w:keepNext/>
              <w:keepLines/>
              <w:spacing w:after="0" w:line="240" w:lineRule="auto"/>
            </w:pPr>
            <w:r>
              <w:rPr>
                <w:b/>
                <w:sz w:val="18"/>
              </w:rPr>
              <w:t>Y005</w:t>
            </w:r>
          </w:p>
        </w:tc>
        <w:tc>
          <w:tcPr>
            <w:tcW w:w="1860" w:type="dxa"/>
            <w:tcMar>
              <w:top w:w="0" w:type="dxa"/>
              <w:bottom w:w="0" w:type="dxa"/>
            </w:tcMar>
            <w:vAlign w:val="center"/>
          </w:tcPr>
          <w:p w14:paraId="654119AE" w14:textId="77777777" w:rsidR="0010088D" w:rsidRDefault="00000000">
            <w:pPr>
              <w:keepNext/>
              <w:keepLines/>
              <w:spacing w:after="0" w:line="240" w:lineRule="auto"/>
              <w:jc w:val="right"/>
            </w:pPr>
            <w:r>
              <w:rPr>
                <w:b/>
                <w:sz w:val="18"/>
              </w:rPr>
              <w:t>0,00</w:t>
            </w:r>
          </w:p>
        </w:tc>
        <w:tc>
          <w:tcPr>
            <w:tcW w:w="1860" w:type="dxa"/>
            <w:tcMar>
              <w:top w:w="0" w:type="dxa"/>
              <w:bottom w:w="0" w:type="dxa"/>
            </w:tcMar>
            <w:vAlign w:val="center"/>
          </w:tcPr>
          <w:p w14:paraId="0D8324AC" w14:textId="77777777" w:rsidR="0010088D" w:rsidRDefault="00000000">
            <w:pPr>
              <w:keepNext/>
              <w:keepLines/>
              <w:spacing w:after="0" w:line="240" w:lineRule="auto"/>
              <w:jc w:val="right"/>
            </w:pPr>
            <w:r>
              <w:rPr>
                <w:b/>
                <w:sz w:val="18"/>
              </w:rPr>
              <w:t>71.778,28</w:t>
            </w:r>
          </w:p>
        </w:tc>
        <w:tc>
          <w:tcPr>
            <w:tcW w:w="700" w:type="dxa"/>
            <w:tcMar>
              <w:top w:w="0" w:type="dxa"/>
              <w:bottom w:w="0" w:type="dxa"/>
            </w:tcMar>
            <w:vAlign w:val="center"/>
          </w:tcPr>
          <w:p w14:paraId="7B2282A5" w14:textId="77777777" w:rsidR="0010088D" w:rsidRDefault="00000000">
            <w:pPr>
              <w:keepNext/>
              <w:keepLines/>
              <w:spacing w:after="0" w:line="240" w:lineRule="auto"/>
              <w:jc w:val="right"/>
            </w:pPr>
            <w:r>
              <w:rPr>
                <w:b/>
                <w:sz w:val="18"/>
              </w:rPr>
              <w:t>-</w:t>
            </w:r>
          </w:p>
        </w:tc>
      </w:tr>
    </w:tbl>
    <w:p w14:paraId="33C62B9C" w14:textId="77777777" w:rsidR="0010088D" w:rsidRDefault="0010088D">
      <w:pPr>
        <w:spacing w:after="0"/>
      </w:pPr>
    </w:p>
    <w:p w14:paraId="5483C2BB" w14:textId="77777777" w:rsidR="0010088D" w:rsidRDefault="00000000">
      <w:pPr>
        <w:spacing w:line="240" w:lineRule="auto"/>
        <w:jc w:val="both"/>
      </w:pPr>
      <w:r>
        <w:t>OBRAZLOŽENJE MANJKA   Ukupni prihodi i primici  iznose 434.317,00 eura,  dok ukupni rashodi i izdaci iznose 506.095,28 eura. Razlika između ukupnih prihoda i primitaka te rashoda i izdataka daje manjak u iznosu od 71.778,28 eura. Važno je napomenuti da je iznos od 69.811,12 eura metodološki manjak i odnosi se na plaću za 06. mjesec 2025. godine, te je nastao uslijed ukidanja kontinuiranih rashoda poslovanja (podskupina 193). Na dan 30.06.2025. godine s uključenim manjkom iz prethodnih godina u iznosu od 9.248,72 eura ukupni manjak iznosi 81.027,00 eura.</w:t>
      </w:r>
    </w:p>
    <w:p w14:paraId="5DD26F93" w14:textId="77777777" w:rsidR="0010088D" w:rsidRDefault="00000000">
      <w:r>
        <w:lastRenderedPageBreak/>
        <w:br/>
      </w:r>
    </w:p>
    <w:p w14:paraId="6D0F4CF7" w14:textId="77777777" w:rsidR="0010088D" w:rsidRDefault="00000000">
      <w:pPr>
        <w:keepNext/>
        <w:spacing w:line="240" w:lineRule="auto"/>
        <w:jc w:val="center"/>
      </w:pPr>
      <w:r>
        <w:rPr>
          <w:sz w:val="28"/>
        </w:rPr>
        <w:t>Bilješka 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0088D" w14:paraId="5324587C"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F089584" w14:textId="77777777" w:rsidR="0010088D"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075CD77A" w14:textId="77777777" w:rsidR="0010088D"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FC313CD" w14:textId="77777777" w:rsidR="0010088D"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9DB66F4" w14:textId="77777777" w:rsidR="0010088D"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109836C" w14:textId="77777777" w:rsidR="0010088D"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5038579" w14:textId="77777777" w:rsidR="0010088D" w:rsidRDefault="00000000">
            <w:pPr>
              <w:keepNext/>
              <w:keepLines/>
              <w:spacing w:after="0" w:line="240" w:lineRule="auto"/>
              <w:jc w:val="center"/>
            </w:pPr>
            <w:r>
              <w:rPr>
                <w:b/>
                <w:sz w:val="18"/>
              </w:rPr>
              <w:t>Indeks (%)</w:t>
            </w:r>
          </w:p>
        </w:tc>
      </w:tr>
      <w:tr w:rsidR="0010088D" w14:paraId="3E91A5C7" w14:textId="77777777">
        <w:tblPrEx>
          <w:tblCellMar>
            <w:top w:w="0" w:type="dxa"/>
            <w:bottom w:w="0" w:type="dxa"/>
          </w:tblCellMar>
        </w:tblPrEx>
        <w:trPr>
          <w:cantSplit/>
          <w:trHeight w:val="560"/>
        </w:trPr>
        <w:tc>
          <w:tcPr>
            <w:tcW w:w="700" w:type="dxa"/>
            <w:tcMar>
              <w:top w:w="0" w:type="dxa"/>
              <w:bottom w:w="0" w:type="dxa"/>
            </w:tcMar>
            <w:vAlign w:val="center"/>
          </w:tcPr>
          <w:p w14:paraId="34637712" w14:textId="77777777" w:rsidR="0010088D" w:rsidRDefault="00000000">
            <w:pPr>
              <w:keepNext/>
              <w:keepLines/>
              <w:spacing w:after="0" w:line="240" w:lineRule="auto"/>
            </w:pPr>
            <w:r>
              <w:rPr>
                <w:sz w:val="18"/>
              </w:rPr>
              <w:t>65</w:t>
            </w:r>
          </w:p>
        </w:tc>
        <w:tc>
          <w:tcPr>
            <w:tcW w:w="3180" w:type="dxa"/>
            <w:tcMar>
              <w:top w:w="0" w:type="dxa"/>
              <w:bottom w:w="0" w:type="dxa"/>
            </w:tcMar>
            <w:vAlign w:val="center"/>
          </w:tcPr>
          <w:p w14:paraId="66DBC833" w14:textId="77777777" w:rsidR="0010088D" w:rsidRDefault="00000000">
            <w:pPr>
              <w:keepNext/>
              <w:keepLines/>
              <w:spacing w:after="0" w:line="240" w:lineRule="auto"/>
            </w:pPr>
            <w:r>
              <w:rPr>
                <w:sz w:val="18"/>
              </w:rPr>
              <w:t>Prihodi od upravnih i administrativnih pristojbi, pristojbi po posebnim propisima i naknada (šifre 651+652+653+654)</w:t>
            </w:r>
          </w:p>
        </w:tc>
        <w:tc>
          <w:tcPr>
            <w:tcW w:w="700" w:type="dxa"/>
            <w:tcMar>
              <w:top w:w="0" w:type="dxa"/>
              <w:bottom w:w="0" w:type="dxa"/>
            </w:tcMar>
            <w:vAlign w:val="center"/>
          </w:tcPr>
          <w:p w14:paraId="189C447E" w14:textId="77777777" w:rsidR="0010088D" w:rsidRDefault="00000000">
            <w:pPr>
              <w:keepNext/>
              <w:keepLines/>
              <w:spacing w:after="0" w:line="240" w:lineRule="auto"/>
            </w:pPr>
            <w:r>
              <w:rPr>
                <w:sz w:val="18"/>
              </w:rPr>
              <w:t>65</w:t>
            </w:r>
          </w:p>
        </w:tc>
        <w:tc>
          <w:tcPr>
            <w:tcW w:w="1860" w:type="dxa"/>
            <w:tcMar>
              <w:top w:w="0" w:type="dxa"/>
              <w:bottom w:w="0" w:type="dxa"/>
            </w:tcMar>
            <w:vAlign w:val="center"/>
          </w:tcPr>
          <w:p w14:paraId="3DFC41D5" w14:textId="77777777" w:rsidR="0010088D" w:rsidRDefault="00000000">
            <w:pPr>
              <w:keepNext/>
              <w:keepLines/>
              <w:spacing w:after="0" w:line="240" w:lineRule="auto"/>
              <w:jc w:val="right"/>
            </w:pPr>
            <w:r>
              <w:rPr>
                <w:sz w:val="18"/>
              </w:rPr>
              <w:t>93.230,80</w:t>
            </w:r>
          </w:p>
        </w:tc>
        <w:tc>
          <w:tcPr>
            <w:tcW w:w="1860" w:type="dxa"/>
            <w:tcMar>
              <w:top w:w="0" w:type="dxa"/>
              <w:bottom w:w="0" w:type="dxa"/>
            </w:tcMar>
            <w:vAlign w:val="center"/>
          </w:tcPr>
          <w:p w14:paraId="11765ABA" w14:textId="77777777" w:rsidR="0010088D" w:rsidRDefault="00000000">
            <w:pPr>
              <w:keepNext/>
              <w:keepLines/>
              <w:spacing w:after="0" w:line="240" w:lineRule="auto"/>
              <w:jc w:val="right"/>
            </w:pPr>
            <w:r>
              <w:rPr>
                <w:sz w:val="18"/>
              </w:rPr>
              <w:t>119.274,43</w:t>
            </w:r>
          </w:p>
        </w:tc>
        <w:tc>
          <w:tcPr>
            <w:tcW w:w="700" w:type="dxa"/>
            <w:tcMar>
              <w:top w:w="0" w:type="dxa"/>
              <w:bottom w:w="0" w:type="dxa"/>
            </w:tcMar>
            <w:vAlign w:val="center"/>
          </w:tcPr>
          <w:p w14:paraId="04835CF4" w14:textId="77777777" w:rsidR="0010088D" w:rsidRDefault="00000000">
            <w:pPr>
              <w:keepNext/>
              <w:keepLines/>
              <w:spacing w:after="0" w:line="240" w:lineRule="auto"/>
              <w:jc w:val="right"/>
            </w:pPr>
            <w:r>
              <w:rPr>
                <w:sz w:val="18"/>
              </w:rPr>
              <w:t>127,9</w:t>
            </w:r>
          </w:p>
        </w:tc>
      </w:tr>
    </w:tbl>
    <w:p w14:paraId="7491926A" w14:textId="77777777" w:rsidR="0010088D" w:rsidRDefault="0010088D">
      <w:pPr>
        <w:spacing w:after="0"/>
      </w:pPr>
    </w:p>
    <w:p w14:paraId="0FAAE585" w14:textId="77777777" w:rsidR="0010088D" w:rsidRDefault="00000000">
      <w:pPr>
        <w:spacing w:line="240" w:lineRule="auto"/>
        <w:jc w:val="both"/>
      </w:pPr>
      <w:r>
        <w:t>Odnose se na prihode od sufinanciranja cijene usluge, participacije i slično roditelja/skrbnika korisnika Dječjeg vrtića i drugih općina i gradova. Prihodi se ostvaruju temeljem naplate izdanih uplatnica (za roditelje/skrbnike) te temeljem naplate sufinanciranja cijene usluge iz proračuna drugih općina/gradova. U odnosno na navedeno razdoblje prethodne godine vidljivo je povećanje zbog upisanog većeg broja djece u odnosu na  isto razdoblje prethodne godine  (dogradnja Dječjeg vrtića i proširenje za dvije odgojno obrazovne skupine u prosincu 2024. godine).</w:t>
      </w:r>
    </w:p>
    <w:p w14:paraId="2A33E048" w14:textId="77777777" w:rsidR="0010088D" w:rsidRDefault="0010088D"/>
    <w:p w14:paraId="232FF024" w14:textId="77777777" w:rsidR="0010088D" w:rsidRDefault="00000000">
      <w:pPr>
        <w:keepNext/>
        <w:spacing w:line="240" w:lineRule="auto"/>
        <w:jc w:val="center"/>
      </w:pPr>
      <w:r>
        <w:rPr>
          <w:sz w:val="28"/>
        </w:rPr>
        <w:t>Bilješka 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0088D" w14:paraId="29FE20BA"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11C6196" w14:textId="77777777" w:rsidR="0010088D"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38D85610" w14:textId="77777777" w:rsidR="0010088D"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E6A81D9" w14:textId="77777777" w:rsidR="0010088D"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7044590" w14:textId="77777777" w:rsidR="0010088D"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9ED7616" w14:textId="77777777" w:rsidR="0010088D"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5D7FC7C" w14:textId="77777777" w:rsidR="0010088D" w:rsidRDefault="00000000">
            <w:pPr>
              <w:keepNext/>
              <w:keepLines/>
              <w:spacing w:after="0" w:line="240" w:lineRule="auto"/>
              <w:jc w:val="center"/>
            </w:pPr>
            <w:r>
              <w:rPr>
                <w:b/>
                <w:sz w:val="18"/>
              </w:rPr>
              <w:t>Indeks (%)</w:t>
            </w:r>
          </w:p>
        </w:tc>
      </w:tr>
      <w:tr w:rsidR="0010088D" w14:paraId="115CB5B2" w14:textId="77777777">
        <w:tblPrEx>
          <w:tblCellMar>
            <w:top w:w="0" w:type="dxa"/>
            <w:bottom w:w="0" w:type="dxa"/>
          </w:tblCellMar>
        </w:tblPrEx>
        <w:trPr>
          <w:cantSplit/>
          <w:trHeight w:val="560"/>
        </w:trPr>
        <w:tc>
          <w:tcPr>
            <w:tcW w:w="700" w:type="dxa"/>
            <w:tcMar>
              <w:top w:w="0" w:type="dxa"/>
              <w:bottom w:w="0" w:type="dxa"/>
            </w:tcMar>
            <w:vAlign w:val="center"/>
          </w:tcPr>
          <w:p w14:paraId="153A46D4" w14:textId="77777777" w:rsidR="0010088D" w:rsidRDefault="00000000">
            <w:pPr>
              <w:keepNext/>
              <w:keepLines/>
              <w:spacing w:after="0" w:line="240" w:lineRule="auto"/>
            </w:pPr>
            <w:r>
              <w:rPr>
                <w:sz w:val="18"/>
              </w:rPr>
              <w:t>67</w:t>
            </w:r>
          </w:p>
        </w:tc>
        <w:tc>
          <w:tcPr>
            <w:tcW w:w="3180" w:type="dxa"/>
            <w:tcMar>
              <w:top w:w="0" w:type="dxa"/>
              <w:bottom w:w="0" w:type="dxa"/>
            </w:tcMar>
            <w:vAlign w:val="center"/>
          </w:tcPr>
          <w:p w14:paraId="77BC02E3" w14:textId="77777777" w:rsidR="0010088D" w:rsidRDefault="00000000">
            <w:pPr>
              <w:keepNext/>
              <w:keepLines/>
              <w:spacing w:after="0" w:line="240" w:lineRule="auto"/>
            </w:pPr>
            <w:r>
              <w:rPr>
                <w:sz w:val="18"/>
              </w:rPr>
              <w:t>Prihodi iz nadležnog proračuna i od HZZO-a na temelju ugovornih obveza (šifre 671+673)</w:t>
            </w:r>
          </w:p>
        </w:tc>
        <w:tc>
          <w:tcPr>
            <w:tcW w:w="700" w:type="dxa"/>
            <w:tcMar>
              <w:top w:w="0" w:type="dxa"/>
              <w:bottom w:w="0" w:type="dxa"/>
            </w:tcMar>
            <w:vAlign w:val="center"/>
          </w:tcPr>
          <w:p w14:paraId="02C7B06F" w14:textId="77777777" w:rsidR="0010088D" w:rsidRDefault="00000000">
            <w:pPr>
              <w:keepNext/>
              <w:keepLines/>
              <w:spacing w:after="0" w:line="240" w:lineRule="auto"/>
            </w:pPr>
            <w:r>
              <w:rPr>
                <w:sz w:val="18"/>
              </w:rPr>
              <w:t>67</w:t>
            </w:r>
          </w:p>
        </w:tc>
        <w:tc>
          <w:tcPr>
            <w:tcW w:w="1860" w:type="dxa"/>
            <w:tcMar>
              <w:top w:w="0" w:type="dxa"/>
              <w:bottom w:w="0" w:type="dxa"/>
            </w:tcMar>
            <w:vAlign w:val="center"/>
          </w:tcPr>
          <w:p w14:paraId="41C85071" w14:textId="77777777" w:rsidR="0010088D" w:rsidRDefault="00000000">
            <w:pPr>
              <w:keepNext/>
              <w:keepLines/>
              <w:spacing w:after="0" w:line="240" w:lineRule="auto"/>
              <w:jc w:val="right"/>
            </w:pPr>
            <w:r>
              <w:rPr>
                <w:sz w:val="18"/>
              </w:rPr>
              <w:t>209.361,43</w:t>
            </w:r>
          </w:p>
        </w:tc>
        <w:tc>
          <w:tcPr>
            <w:tcW w:w="1860" w:type="dxa"/>
            <w:tcMar>
              <w:top w:w="0" w:type="dxa"/>
              <w:bottom w:w="0" w:type="dxa"/>
            </w:tcMar>
            <w:vAlign w:val="center"/>
          </w:tcPr>
          <w:p w14:paraId="3CC2C8C8" w14:textId="77777777" w:rsidR="0010088D" w:rsidRDefault="00000000">
            <w:pPr>
              <w:keepNext/>
              <w:keepLines/>
              <w:spacing w:after="0" w:line="240" w:lineRule="auto"/>
              <w:jc w:val="right"/>
            </w:pPr>
            <w:r>
              <w:rPr>
                <w:sz w:val="18"/>
              </w:rPr>
              <w:t>314.832,57</w:t>
            </w:r>
          </w:p>
        </w:tc>
        <w:tc>
          <w:tcPr>
            <w:tcW w:w="700" w:type="dxa"/>
            <w:tcMar>
              <w:top w:w="0" w:type="dxa"/>
              <w:bottom w:w="0" w:type="dxa"/>
            </w:tcMar>
            <w:vAlign w:val="center"/>
          </w:tcPr>
          <w:p w14:paraId="179D8750" w14:textId="77777777" w:rsidR="0010088D" w:rsidRDefault="00000000">
            <w:pPr>
              <w:keepNext/>
              <w:keepLines/>
              <w:spacing w:after="0" w:line="240" w:lineRule="auto"/>
              <w:jc w:val="right"/>
            </w:pPr>
            <w:r>
              <w:rPr>
                <w:sz w:val="18"/>
              </w:rPr>
              <w:t>150,4</w:t>
            </w:r>
          </w:p>
        </w:tc>
      </w:tr>
    </w:tbl>
    <w:p w14:paraId="2CB338E5" w14:textId="77777777" w:rsidR="0010088D" w:rsidRDefault="0010088D">
      <w:pPr>
        <w:spacing w:after="0"/>
      </w:pPr>
    </w:p>
    <w:p w14:paraId="729A6AC0" w14:textId="77777777" w:rsidR="0010088D" w:rsidRDefault="00000000">
      <w:pPr>
        <w:spacing w:line="240" w:lineRule="auto"/>
        <w:jc w:val="both"/>
      </w:pPr>
      <w:r>
        <w:t>Odnose se na prihode iz nadležnog proračuna (Općina Vidovec). Vidljivo je povećanje prihoda iz nadležnog proračuna zbog većeg broja upisane djece (dogradnja Dječjeg vrtića i proširenje za dvije odgojno obrazovne skupine), odnosno većeg sudjelovanja u plaćanju pune mjesečne cijene usluga Dječjeg vrtića.</w:t>
      </w:r>
    </w:p>
    <w:p w14:paraId="28FE457B" w14:textId="77777777" w:rsidR="0010088D" w:rsidRDefault="0010088D"/>
    <w:p w14:paraId="3DBC51BB" w14:textId="77777777" w:rsidR="0010088D" w:rsidRDefault="00000000">
      <w:pPr>
        <w:keepNext/>
        <w:spacing w:line="240" w:lineRule="auto"/>
        <w:jc w:val="center"/>
      </w:pPr>
      <w:r>
        <w:rPr>
          <w:sz w:val="28"/>
        </w:rPr>
        <w:t>Bilješka 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0088D" w14:paraId="3CD930DC"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C9848CC" w14:textId="77777777" w:rsidR="0010088D"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792DC074" w14:textId="77777777" w:rsidR="0010088D"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B3D1634" w14:textId="77777777" w:rsidR="0010088D"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189B0AB" w14:textId="77777777" w:rsidR="0010088D"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A4B59A0" w14:textId="77777777" w:rsidR="0010088D"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7BA303B" w14:textId="77777777" w:rsidR="0010088D" w:rsidRDefault="00000000">
            <w:pPr>
              <w:keepNext/>
              <w:keepLines/>
              <w:spacing w:after="0" w:line="240" w:lineRule="auto"/>
              <w:jc w:val="center"/>
            </w:pPr>
            <w:r>
              <w:rPr>
                <w:b/>
                <w:sz w:val="18"/>
              </w:rPr>
              <w:t>Indeks (%)</w:t>
            </w:r>
          </w:p>
        </w:tc>
      </w:tr>
      <w:tr w:rsidR="0010088D" w14:paraId="13A724B3" w14:textId="77777777">
        <w:tblPrEx>
          <w:tblCellMar>
            <w:top w:w="0" w:type="dxa"/>
            <w:bottom w:w="0" w:type="dxa"/>
          </w:tblCellMar>
        </w:tblPrEx>
        <w:trPr>
          <w:cantSplit/>
          <w:trHeight w:val="560"/>
        </w:trPr>
        <w:tc>
          <w:tcPr>
            <w:tcW w:w="700" w:type="dxa"/>
            <w:tcMar>
              <w:top w:w="0" w:type="dxa"/>
              <w:bottom w:w="0" w:type="dxa"/>
            </w:tcMar>
            <w:vAlign w:val="center"/>
          </w:tcPr>
          <w:p w14:paraId="73343146" w14:textId="77777777" w:rsidR="0010088D" w:rsidRDefault="00000000">
            <w:pPr>
              <w:keepNext/>
              <w:keepLines/>
              <w:spacing w:after="0" w:line="240" w:lineRule="auto"/>
            </w:pPr>
            <w:r>
              <w:rPr>
                <w:sz w:val="18"/>
              </w:rPr>
              <w:t>31</w:t>
            </w:r>
          </w:p>
        </w:tc>
        <w:tc>
          <w:tcPr>
            <w:tcW w:w="3180" w:type="dxa"/>
            <w:tcMar>
              <w:top w:w="0" w:type="dxa"/>
              <w:bottom w:w="0" w:type="dxa"/>
            </w:tcMar>
            <w:vAlign w:val="center"/>
          </w:tcPr>
          <w:p w14:paraId="345343F7" w14:textId="77777777" w:rsidR="0010088D" w:rsidRDefault="00000000">
            <w:pPr>
              <w:keepNext/>
              <w:keepLines/>
              <w:spacing w:after="0" w:line="240" w:lineRule="auto"/>
            </w:pPr>
            <w:r>
              <w:rPr>
                <w:sz w:val="18"/>
              </w:rPr>
              <w:t>Rashodi za zaposlene (šifre 311+312+313)</w:t>
            </w:r>
          </w:p>
        </w:tc>
        <w:tc>
          <w:tcPr>
            <w:tcW w:w="700" w:type="dxa"/>
            <w:tcMar>
              <w:top w:w="0" w:type="dxa"/>
              <w:bottom w:w="0" w:type="dxa"/>
            </w:tcMar>
            <w:vAlign w:val="center"/>
          </w:tcPr>
          <w:p w14:paraId="7963262E" w14:textId="77777777" w:rsidR="0010088D" w:rsidRDefault="00000000">
            <w:pPr>
              <w:keepNext/>
              <w:keepLines/>
              <w:spacing w:after="0" w:line="240" w:lineRule="auto"/>
            </w:pPr>
            <w:r>
              <w:rPr>
                <w:sz w:val="18"/>
              </w:rPr>
              <w:t>31</w:t>
            </w:r>
          </w:p>
        </w:tc>
        <w:tc>
          <w:tcPr>
            <w:tcW w:w="1860" w:type="dxa"/>
            <w:tcMar>
              <w:top w:w="0" w:type="dxa"/>
              <w:bottom w:w="0" w:type="dxa"/>
            </w:tcMar>
            <w:vAlign w:val="center"/>
          </w:tcPr>
          <w:p w14:paraId="6BBCAF8A" w14:textId="77777777" w:rsidR="0010088D" w:rsidRDefault="00000000">
            <w:pPr>
              <w:keepNext/>
              <w:keepLines/>
              <w:spacing w:after="0" w:line="240" w:lineRule="auto"/>
              <w:jc w:val="right"/>
            </w:pPr>
            <w:r>
              <w:rPr>
                <w:sz w:val="18"/>
              </w:rPr>
              <w:t>229.623,80</w:t>
            </w:r>
          </w:p>
        </w:tc>
        <w:tc>
          <w:tcPr>
            <w:tcW w:w="1860" w:type="dxa"/>
            <w:tcMar>
              <w:top w:w="0" w:type="dxa"/>
              <w:bottom w:w="0" w:type="dxa"/>
            </w:tcMar>
            <w:vAlign w:val="center"/>
          </w:tcPr>
          <w:p w14:paraId="40A732A6" w14:textId="77777777" w:rsidR="0010088D" w:rsidRDefault="00000000">
            <w:pPr>
              <w:keepNext/>
              <w:keepLines/>
              <w:spacing w:after="0" w:line="240" w:lineRule="auto"/>
              <w:jc w:val="right"/>
            </w:pPr>
            <w:r>
              <w:rPr>
                <w:sz w:val="18"/>
              </w:rPr>
              <w:t>426.240,87</w:t>
            </w:r>
          </w:p>
        </w:tc>
        <w:tc>
          <w:tcPr>
            <w:tcW w:w="700" w:type="dxa"/>
            <w:tcMar>
              <w:top w:w="0" w:type="dxa"/>
              <w:bottom w:w="0" w:type="dxa"/>
            </w:tcMar>
            <w:vAlign w:val="center"/>
          </w:tcPr>
          <w:p w14:paraId="694EEB56" w14:textId="77777777" w:rsidR="0010088D" w:rsidRDefault="00000000">
            <w:pPr>
              <w:keepNext/>
              <w:keepLines/>
              <w:spacing w:after="0" w:line="240" w:lineRule="auto"/>
              <w:jc w:val="right"/>
            </w:pPr>
            <w:r>
              <w:rPr>
                <w:sz w:val="18"/>
              </w:rPr>
              <w:t>185,6</w:t>
            </w:r>
          </w:p>
        </w:tc>
      </w:tr>
    </w:tbl>
    <w:p w14:paraId="0E37B46E" w14:textId="77777777" w:rsidR="0010088D" w:rsidRDefault="0010088D">
      <w:pPr>
        <w:spacing w:after="0"/>
      </w:pPr>
    </w:p>
    <w:p w14:paraId="0A11ABCB" w14:textId="77777777" w:rsidR="0010088D" w:rsidRDefault="00000000">
      <w:pPr>
        <w:spacing w:line="240" w:lineRule="auto"/>
        <w:jc w:val="both"/>
      </w:pPr>
      <w:r>
        <w:t>Vidljivo je da je u odnosu na navedeno razdoblje prethodne godine došlo do povećanja svih rashoda za zaposlene zbog povećanja osnovice i koeficijenata, većeg broja djelatnika ali i zbog ukidanja kontinuiranih rashoda poslovanja (podskupina 193). Također, vidljivi su i rashodi za prekovremeni rad, koji su nastali zbog bolovanja djelatnika.</w:t>
      </w:r>
    </w:p>
    <w:p w14:paraId="62F83754" w14:textId="77777777" w:rsidR="0010088D" w:rsidRDefault="0010088D"/>
    <w:p w14:paraId="676F6E46" w14:textId="77777777" w:rsidR="0010088D" w:rsidRDefault="00000000">
      <w:pPr>
        <w:keepNext/>
        <w:spacing w:line="240" w:lineRule="auto"/>
        <w:jc w:val="center"/>
      </w:pPr>
      <w:r>
        <w:rPr>
          <w:sz w:val="28"/>
        </w:rPr>
        <w:lastRenderedPageBreak/>
        <w:t>Bilješka 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0088D" w14:paraId="6B64B912"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8E66EB0" w14:textId="77777777" w:rsidR="0010088D"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7B31280E" w14:textId="77777777" w:rsidR="0010088D"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7DAA44A" w14:textId="77777777" w:rsidR="0010088D"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9DD6076" w14:textId="77777777" w:rsidR="0010088D"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CCA3D7A" w14:textId="77777777" w:rsidR="0010088D"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5A5240C" w14:textId="77777777" w:rsidR="0010088D" w:rsidRDefault="00000000">
            <w:pPr>
              <w:keepNext/>
              <w:keepLines/>
              <w:spacing w:after="0" w:line="240" w:lineRule="auto"/>
              <w:jc w:val="center"/>
            </w:pPr>
            <w:r>
              <w:rPr>
                <w:b/>
                <w:sz w:val="18"/>
              </w:rPr>
              <w:t>Indeks (%)</w:t>
            </w:r>
          </w:p>
        </w:tc>
      </w:tr>
      <w:tr w:rsidR="0010088D" w14:paraId="6C3CF20D" w14:textId="77777777">
        <w:tblPrEx>
          <w:tblCellMar>
            <w:top w:w="0" w:type="dxa"/>
            <w:bottom w:w="0" w:type="dxa"/>
          </w:tblCellMar>
        </w:tblPrEx>
        <w:trPr>
          <w:cantSplit/>
          <w:trHeight w:val="560"/>
        </w:trPr>
        <w:tc>
          <w:tcPr>
            <w:tcW w:w="700" w:type="dxa"/>
            <w:tcMar>
              <w:top w:w="0" w:type="dxa"/>
              <w:bottom w:w="0" w:type="dxa"/>
            </w:tcMar>
            <w:vAlign w:val="center"/>
          </w:tcPr>
          <w:p w14:paraId="121CEA24" w14:textId="77777777" w:rsidR="0010088D" w:rsidRDefault="00000000">
            <w:pPr>
              <w:keepNext/>
              <w:keepLines/>
              <w:spacing w:after="0" w:line="240" w:lineRule="auto"/>
            </w:pPr>
            <w:r>
              <w:rPr>
                <w:sz w:val="18"/>
              </w:rPr>
              <w:t>32</w:t>
            </w:r>
          </w:p>
        </w:tc>
        <w:tc>
          <w:tcPr>
            <w:tcW w:w="3180" w:type="dxa"/>
            <w:tcMar>
              <w:top w:w="0" w:type="dxa"/>
              <w:bottom w:w="0" w:type="dxa"/>
            </w:tcMar>
            <w:vAlign w:val="center"/>
          </w:tcPr>
          <w:p w14:paraId="7A4F31A1" w14:textId="77777777" w:rsidR="0010088D" w:rsidRDefault="00000000">
            <w:pPr>
              <w:keepNext/>
              <w:keepLines/>
              <w:spacing w:after="0" w:line="240" w:lineRule="auto"/>
            </w:pPr>
            <w:r>
              <w:rPr>
                <w:sz w:val="18"/>
              </w:rPr>
              <w:t>Materijalni rashodi (šifre 321+322+323+324+325+329)</w:t>
            </w:r>
          </w:p>
        </w:tc>
        <w:tc>
          <w:tcPr>
            <w:tcW w:w="700" w:type="dxa"/>
            <w:tcMar>
              <w:top w:w="0" w:type="dxa"/>
              <w:bottom w:w="0" w:type="dxa"/>
            </w:tcMar>
            <w:vAlign w:val="center"/>
          </w:tcPr>
          <w:p w14:paraId="4B2FE36D" w14:textId="77777777" w:rsidR="0010088D" w:rsidRDefault="00000000">
            <w:pPr>
              <w:keepNext/>
              <w:keepLines/>
              <w:spacing w:after="0" w:line="240" w:lineRule="auto"/>
            </w:pPr>
            <w:r>
              <w:rPr>
                <w:sz w:val="18"/>
              </w:rPr>
              <w:t>32</w:t>
            </w:r>
          </w:p>
        </w:tc>
        <w:tc>
          <w:tcPr>
            <w:tcW w:w="1860" w:type="dxa"/>
            <w:tcMar>
              <w:top w:w="0" w:type="dxa"/>
              <w:bottom w:w="0" w:type="dxa"/>
            </w:tcMar>
            <w:vAlign w:val="center"/>
          </w:tcPr>
          <w:p w14:paraId="0734A2D8" w14:textId="77777777" w:rsidR="0010088D" w:rsidRDefault="00000000">
            <w:pPr>
              <w:keepNext/>
              <w:keepLines/>
              <w:spacing w:after="0" w:line="240" w:lineRule="auto"/>
              <w:jc w:val="right"/>
            </w:pPr>
            <w:r>
              <w:rPr>
                <w:sz w:val="18"/>
              </w:rPr>
              <w:t>61.610,43</w:t>
            </w:r>
          </w:p>
        </w:tc>
        <w:tc>
          <w:tcPr>
            <w:tcW w:w="1860" w:type="dxa"/>
            <w:tcMar>
              <w:top w:w="0" w:type="dxa"/>
              <w:bottom w:w="0" w:type="dxa"/>
            </w:tcMar>
            <w:vAlign w:val="center"/>
          </w:tcPr>
          <w:p w14:paraId="0957EE92" w14:textId="77777777" w:rsidR="0010088D" w:rsidRDefault="00000000">
            <w:pPr>
              <w:keepNext/>
              <w:keepLines/>
              <w:spacing w:after="0" w:line="240" w:lineRule="auto"/>
              <w:jc w:val="right"/>
            </w:pPr>
            <w:r>
              <w:rPr>
                <w:sz w:val="18"/>
              </w:rPr>
              <w:t>79.045,06</w:t>
            </w:r>
          </w:p>
        </w:tc>
        <w:tc>
          <w:tcPr>
            <w:tcW w:w="700" w:type="dxa"/>
            <w:tcMar>
              <w:top w:w="0" w:type="dxa"/>
              <w:bottom w:w="0" w:type="dxa"/>
            </w:tcMar>
            <w:vAlign w:val="center"/>
          </w:tcPr>
          <w:p w14:paraId="0D681010" w14:textId="77777777" w:rsidR="0010088D" w:rsidRDefault="00000000">
            <w:pPr>
              <w:keepNext/>
              <w:keepLines/>
              <w:spacing w:after="0" w:line="240" w:lineRule="auto"/>
              <w:jc w:val="right"/>
            </w:pPr>
            <w:r>
              <w:rPr>
                <w:sz w:val="18"/>
              </w:rPr>
              <w:t>128,3</w:t>
            </w:r>
          </w:p>
        </w:tc>
      </w:tr>
    </w:tbl>
    <w:p w14:paraId="791EDE6C" w14:textId="77777777" w:rsidR="0010088D" w:rsidRDefault="0010088D">
      <w:pPr>
        <w:spacing w:after="0"/>
      </w:pPr>
    </w:p>
    <w:p w14:paraId="3047BF42" w14:textId="77777777" w:rsidR="0010088D" w:rsidRDefault="00000000">
      <w:pPr>
        <w:spacing w:line="240" w:lineRule="auto"/>
        <w:jc w:val="both"/>
      </w:pPr>
      <w:r>
        <w:t>NAKNADE TROŠKOVA ZAPOSLENIMA (321) koji su ostvareni u iznosu od 18.055,42 eura, odnosno 133,40 % u odnosu na navedeno razdoblje prethodne godine. Vidljivo je povećanje naknade za prijevoz, za rad na terenu i odvojeni život zbog većeg broja djelatnika u odnosu na navedeno razdoblje prethodne godine. RASHODI ZA MATERIJAL I ENERGIJU (322) koji su ostvareni u iznosu od 46.235,29 eura, odnosno 129,60 % u odnosu na razdoblje prethodne godine. Vidljivo je povećanje rashoda za uredski materijal te materijal i sirovine, do kojeg je došlo zbog povećanja cijena na tržištu. Također, vidljivo je povećanje energije zbog većeg kapaciteta vrtića (dogradnje za dvije odgojno – obrazovne skupine) RASHODI ZA USLUGE (323) koji su ostvareni u iznosu od 12.106,06 eura, odnosno 139,1 % u odnosu na navedeno razdoblje prethodne godine. Najveće povećanje u odnosu na promatrano razdoblje prethodne godine vidljivo je kod  usluga tekućeg i investicijskog održavanja te komunalnih usluga. Do povećanja usluga tekućeg i investicijskog održavanja došlo je zbog većih troškova servisa na postrojenju i opremi.  Do povećanja komunalnih usluga došlo je zbog povećanja naknade za komunalne usluge (veća količina predanog otpada) te zbog potrebe čišćenja septičke jame i separatora mješavine masti i ulja. OSTALI NESPOMENUTI RASHODI POSLOVANJA (329) koji su ostvareni u iznosu od 2.648,29 eura, odnosno 71,6 % u odnosu na razdoblje prethodne godine. Vidljivo je povećanje  naknade za rad predstavničkih i izvrših tijela, povjerenstva i slično zbog većeg broja održanih sjednica te povećanje za pristojbe i naknade zbog  provođenja zakonske regulative( provjere vjerodostojnosti diploma djelatnika).</w:t>
      </w:r>
    </w:p>
    <w:p w14:paraId="4B8121B7" w14:textId="77777777" w:rsidR="0010088D" w:rsidRDefault="0010088D"/>
    <w:p w14:paraId="33F7420C" w14:textId="77777777" w:rsidR="0010088D" w:rsidRDefault="00000000">
      <w:pPr>
        <w:keepNext/>
        <w:spacing w:line="240" w:lineRule="auto"/>
        <w:jc w:val="center"/>
      </w:pPr>
      <w:r>
        <w:rPr>
          <w:sz w:val="28"/>
        </w:rPr>
        <w:t>Bilješka 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0088D" w14:paraId="39F48571"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FAD94A9" w14:textId="77777777" w:rsidR="0010088D"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312CEA1E" w14:textId="77777777" w:rsidR="0010088D"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31E48C2" w14:textId="77777777" w:rsidR="0010088D"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BD9F55E" w14:textId="77777777" w:rsidR="0010088D"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53A70E82" w14:textId="77777777" w:rsidR="0010088D"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AE478A1" w14:textId="77777777" w:rsidR="0010088D" w:rsidRDefault="00000000">
            <w:pPr>
              <w:keepNext/>
              <w:keepLines/>
              <w:spacing w:after="0" w:line="240" w:lineRule="auto"/>
              <w:jc w:val="center"/>
            </w:pPr>
            <w:r>
              <w:rPr>
                <w:b/>
                <w:sz w:val="18"/>
              </w:rPr>
              <w:t>Indeks (%)</w:t>
            </w:r>
          </w:p>
        </w:tc>
      </w:tr>
      <w:tr w:rsidR="0010088D" w14:paraId="4A40C2E4" w14:textId="77777777">
        <w:tblPrEx>
          <w:tblCellMar>
            <w:top w:w="0" w:type="dxa"/>
            <w:bottom w:w="0" w:type="dxa"/>
          </w:tblCellMar>
        </w:tblPrEx>
        <w:trPr>
          <w:cantSplit/>
          <w:trHeight w:val="560"/>
        </w:trPr>
        <w:tc>
          <w:tcPr>
            <w:tcW w:w="700" w:type="dxa"/>
            <w:tcMar>
              <w:top w:w="0" w:type="dxa"/>
              <w:bottom w:w="0" w:type="dxa"/>
            </w:tcMar>
            <w:vAlign w:val="center"/>
          </w:tcPr>
          <w:p w14:paraId="74B0086E" w14:textId="77777777" w:rsidR="0010088D" w:rsidRDefault="00000000">
            <w:pPr>
              <w:keepNext/>
              <w:keepLines/>
              <w:spacing w:after="0" w:line="240" w:lineRule="auto"/>
            </w:pPr>
            <w:r>
              <w:rPr>
                <w:sz w:val="18"/>
              </w:rPr>
              <w:t>34</w:t>
            </w:r>
          </w:p>
        </w:tc>
        <w:tc>
          <w:tcPr>
            <w:tcW w:w="3180" w:type="dxa"/>
            <w:tcMar>
              <w:top w:w="0" w:type="dxa"/>
              <w:bottom w:w="0" w:type="dxa"/>
            </w:tcMar>
            <w:vAlign w:val="center"/>
          </w:tcPr>
          <w:p w14:paraId="20404FA3" w14:textId="77777777" w:rsidR="0010088D" w:rsidRDefault="00000000">
            <w:pPr>
              <w:keepNext/>
              <w:keepLines/>
              <w:spacing w:after="0" w:line="240" w:lineRule="auto"/>
            </w:pPr>
            <w:r>
              <w:rPr>
                <w:sz w:val="18"/>
              </w:rPr>
              <w:t>Financijski rashodi (šifre 341+342+343)</w:t>
            </w:r>
          </w:p>
        </w:tc>
        <w:tc>
          <w:tcPr>
            <w:tcW w:w="700" w:type="dxa"/>
            <w:tcMar>
              <w:top w:w="0" w:type="dxa"/>
              <w:bottom w:w="0" w:type="dxa"/>
            </w:tcMar>
            <w:vAlign w:val="center"/>
          </w:tcPr>
          <w:p w14:paraId="5E3BD470" w14:textId="77777777" w:rsidR="0010088D" w:rsidRDefault="00000000">
            <w:pPr>
              <w:keepNext/>
              <w:keepLines/>
              <w:spacing w:after="0" w:line="240" w:lineRule="auto"/>
            </w:pPr>
            <w:r>
              <w:rPr>
                <w:sz w:val="18"/>
              </w:rPr>
              <w:t>34</w:t>
            </w:r>
          </w:p>
        </w:tc>
        <w:tc>
          <w:tcPr>
            <w:tcW w:w="1860" w:type="dxa"/>
            <w:tcMar>
              <w:top w:w="0" w:type="dxa"/>
              <w:bottom w:w="0" w:type="dxa"/>
            </w:tcMar>
            <w:vAlign w:val="center"/>
          </w:tcPr>
          <w:p w14:paraId="3851BDAE" w14:textId="77777777" w:rsidR="0010088D" w:rsidRDefault="00000000">
            <w:pPr>
              <w:keepNext/>
              <w:keepLines/>
              <w:spacing w:after="0" w:line="240" w:lineRule="auto"/>
              <w:jc w:val="right"/>
            </w:pPr>
            <w:r>
              <w:rPr>
                <w:sz w:val="18"/>
              </w:rPr>
              <w:t>712,28</w:t>
            </w:r>
          </w:p>
        </w:tc>
        <w:tc>
          <w:tcPr>
            <w:tcW w:w="1860" w:type="dxa"/>
            <w:tcMar>
              <w:top w:w="0" w:type="dxa"/>
              <w:bottom w:w="0" w:type="dxa"/>
            </w:tcMar>
            <w:vAlign w:val="center"/>
          </w:tcPr>
          <w:p w14:paraId="32E692C1" w14:textId="77777777" w:rsidR="0010088D" w:rsidRDefault="00000000">
            <w:pPr>
              <w:keepNext/>
              <w:keepLines/>
              <w:spacing w:after="0" w:line="240" w:lineRule="auto"/>
              <w:jc w:val="right"/>
            </w:pPr>
            <w:r>
              <w:rPr>
                <w:sz w:val="18"/>
              </w:rPr>
              <w:t>809,35</w:t>
            </w:r>
          </w:p>
        </w:tc>
        <w:tc>
          <w:tcPr>
            <w:tcW w:w="700" w:type="dxa"/>
            <w:tcMar>
              <w:top w:w="0" w:type="dxa"/>
              <w:bottom w:w="0" w:type="dxa"/>
            </w:tcMar>
            <w:vAlign w:val="center"/>
          </w:tcPr>
          <w:p w14:paraId="5298C816" w14:textId="77777777" w:rsidR="0010088D" w:rsidRDefault="00000000">
            <w:pPr>
              <w:keepNext/>
              <w:keepLines/>
              <w:spacing w:after="0" w:line="240" w:lineRule="auto"/>
              <w:jc w:val="right"/>
            </w:pPr>
            <w:r>
              <w:rPr>
                <w:sz w:val="18"/>
              </w:rPr>
              <w:t>113,6</w:t>
            </w:r>
          </w:p>
        </w:tc>
      </w:tr>
    </w:tbl>
    <w:p w14:paraId="318188EF" w14:textId="77777777" w:rsidR="0010088D" w:rsidRDefault="0010088D">
      <w:pPr>
        <w:spacing w:after="0"/>
      </w:pPr>
    </w:p>
    <w:p w14:paraId="516F0613" w14:textId="77777777" w:rsidR="0010088D" w:rsidRDefault="00000000">
      <w:pPr>
        <w:spacing w:line="240" w:lineRule="auto"/>
        <w:jc w:val="both"/>
      </w:pPr>
      <w:r>
        <w:t>Odnose se na bankarske usluge i usluge platnog prometa te na rashode vezane uz zatezne kamate.  Vidljivo je povećanje zbog povećanje naknade platnog prometa.</w:t>
      </w:r>
    </w:p>
    <w:p w14:paraId="2B48EB28" w14:textId="77777777" w:rsidR="0010088D" w:rsidRDefault="0010088D"/>
    <w:p w14:paraId="277238B9" w14:textId="77777777" w:rsidR="0010088D" w:rsidRDefault="00000000">
      <w:pPr>
        <w:keepNext/>
        <w:spacing w:line="240" w:lineRule="auto"/>
        <w:jc w:val="center"/>
      </w:pPr>
      <w:r>
        <w:rPr>
          <w:b/>
          <w:sz w:val="28"/>
        </w:rPr>
        <w:t>Izvještaj o obvezama</w:t>
      </w:r>
    </w:p>
    <w:p w14:paraId="63F6C6DB" w14:textId="77777777" w:rsidR="0010088D" w:rsidRDefault="00000000">
      <w:pPr>
        <w:keepNext/>
        <w:spacing w:line="240" w:lineRule="auto"/>
        <w:jc w:val="center"/>
      </w:pPr>
      <w:r>
        <w:rPr>
          <w:sz w:val="28"/>
        </w:rPr>
        <w:t>Bilješka 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883"/>
        <w:gridCol w:w="4008"/>
        <w:gridCol w:w="882"/>
        <w:gridCol w:w="2345"/>
        <w:gridCol w:w="882"/>
      </w:tblGrid>
      <w:tr w:rsidR="0010088D" w14:paraId="02FF31D2"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D379B80" w14:textId="77777777" w:rsidR="0010088D"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29552C1B" w14:textId="77777777" w:rsidR="0010088D"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389E0E6" w14:textId="77777777" w:rsidR="0010088D"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B85B046" w14:textId="77777777" w:rsidR="0010088D" w:rsidRDefault="0000000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72C8234D" w14:textId="77777777" w:rsidR="0010088D" w:rsidRDefault="00000000">
            <w:pPr>
              <w:keepNext/>
              <w:keepLines/>
              <w:spacing w:after="0" w:line="240" w:lineRule="auto"/>
              <w:jc w:val="center"/>
            </w:pPr>
            <w:r>
              <w:rPr>
                <w:b/>
                <w:sz w:val="18"/>
              </w:rPr>
              <w:t>Indeks (%)</w:t>
            </w:r>
          </w:p>
        </w:tc>
      </w:tr>
      <w:tr w:rsidR="0010088D" w14:paraId="09C8CA31" w14:textId="77777777">
        <w:tblPrEx>
          <w:tblCellMar>
            <w:top w:w="0" w:type="dxa"/>
            <w:bottom w:w="0" w:type="dxa"/>
          </w:tblCellMar>
        </w:tblPrEx>
        <w:trPr>
          <w:cantSplit/>
          <w:trHeight w:val="560"/>
        </w:trPr>
        <w:tc>
          <w:tcPr>
            <w:tcW w:w="700" w:type="dxa"/>
            <w:tcMar>
              <w:top w:w="0" w:type="dxa"/>
              <w:bottom w:w="0" w:type="dxa"/>
            </w:tcMar>
            <w:vAlign w:val="center"/>
          </w:tcPr>
          <w:p w14:paraId="1326E7AF" w14:textId="77777777" w:rsidR="0010088D" w:rsidRDefault="0010088D">
            <w:pPr>
              <w:keepNext/>
              <w:keepLines/>
              <w:spacing w:after="0" w:line="240" w:lineRule="auto"/>
            </w:pPr>
          </w:p>
        </w:tc>
        <w:tc>
          <w:tcPr>
            <w:tcW w:w="3180" w:type="dxa"/>
            <w:tcMar>
              <w:top w:w="0" w:type="dxa"/>
              <w:bottom w:w="0" w:type="dxa"/>
            </w:tcMar>
            <w:vAlign w:val="center"/>
          </w:tcPr>
          <w:p w14:paraId="5692E65D" w14:textId="77777777" w:rsidR="0010088D" w:rsidRDefault="00000000">
            <w:pPr>
              <w:keepNext/>
              <w:keepLines/>
              <w:spacing w:after="0" w:line="240" w:lineRule="auto"/>
            </w:pPr>
            <w:r>
              <w:rPr>
                <w:sz w:val="18"/>
              </w:rPr>
              <w:t>Stanje dospjelih obveza na kraju izvještajnog razdoblja (šifre V008+D23+D24 + 'D dio 25,26' + D27)</w:t>
            </w:r>
          </w:p>
        </w:tc>
        <w:tc>
          <w:tcPr>
            <w:tcW w:w="700" w:type="dxa"/>
            <w:tcMar>
              <w:top w:w="0" w:type="dxa"/>
              <w:bottom w:w="0" w:type="dxa"/>
            </w:tcMar>
            <w:vAlign w:val="center"/>
          </w:tcPr>
          <w:p w14:paraId="5C9C5AB2" w14:textId="77777777" w:rsidR="0010088D" w:rsidRDefault="00000000">
            <w:pPr>
              <w:keepNext/>
              <w:keepLines/>
              <w:spacing w:after="0" w:line="240" w:lineRule="auto"/>
            </w:pPr>
            <w:r>
              <w:rPr>
                <w:sz w:val="18"/>
              </w:rPr>
              <w:t>V007</w:t>
            </w:r>
          </w:p>
        </w:tc>
        <w:tc>
          <w:tcPr>
            <w:tcW w:w="1860" w:type="dxa"/>
            <w:tcMar>
              <w:top w:w="0" w:type="dxa"/>
              <w:bottom w:w="0" w:type="dxa"/>
            </w:tcMar>
            <w:vAlign w:val="center"/>
          </w:tcPr>
          <w:p w14:paraId="7550417E" w14:textId="77777777" w:rsidR="0010088D" w:rsidRDefault="00000000">
            <w:pPr>
              <w:keepNext/>
              <w:keepLines/>
              <w:spacing w:after="0" w:line="240" w:lineRule="auto"/>
              <w:jc w:val="right"/>
            </w:pPr>
            <w:r>
              <w:rPr>
                <w:sz w:val="18"/>
              </w:rPr>
              <w:t>13.234,41</w:t>
            </w:r>
          </w:p>
        </w:tc>
        <w:tc>
          <w:tcPr>
            <w:tcW w:w="700" w:type="dxa"/>
            <w:tcMar>
              <w:top w:w="0" w:type="dxa"/>
              <w:bottom w:w="0" w:type="dxa"/>
            </w:tcMar>
            <w:vAlign w:val="center"/>
          </w:tcPr>
          <w:p w14:paraId="22ED6F05" w14:textId="77777777" w:rsidR="0010088D" w:rsidRDefault="00000000">
            <w:pPr>
              <w:keepNext/>
              <w:keepLines/>
              <w:spacing w:after="0" w:line="240" w:lineRule="auto"/>
              <w:jc w:val="right"/>
            </w:pPr>
            <w:r>
              <w:rPr>
                <w:sz w:val="18"/>
              </w:rPr>
              <w:t>-</w:t>
            </w:r>
          </w:p>
        </w:tc>
      </w:tr>
    </w:tbl>
    <w:p w14:paraId="77017631" w14:textId="77777777" w:rsidR="0010088D" w:rsidRDefault="0010088D">
      <w:pPr>
        <w:spacing w:after="0"/>
      </w:pPr>
    </w:p>
    <w:p w14:paraId="0E201F14" w14:textId="77777777" w:rsidR="0010088D" w:rsidRDefault="00000000">
      <w:pPr>
        <w:spacing w:line="240" w:lineRule="auto"/>
        <w:jc w:val="both"/>
      </w:pPr>
      <w:r>
        <w:lastRenderedPageBreak/>
        <w:t>Na kraju izvještajnog razdoblja vidljivo je stanje dospjelih obveza u iznosu od 13.234,41 eura koje se u iznosu od 13.213,49 eura odnose na obveze za materijalne rashode te se iznos od 20,92 eura odnosi na obveze za financijske rashode ( zatezne kamate). Što se tiče dospjelih obveze za materijalne rashode vidljivo je da se iznos od 9.999,64 eura odnosi na nepodmirene obveze kojima je prekoračenje 1 do 60 dana, to su obveze prema dobavljačima za materijal ( uredski, za higijenske potrebe, namirnice) te za obveze prema dobavljačima za rashode za usluge koji su potrebni za obavljanje redovne djelatnosti vrtića. Iznos od 3.213,85 eura odnosi se na nepodmirene obveze kojima je prekoračenje 61 do 180 dana i odnose se na nekoliko računa vezanih uz nabavu materijala ( sitnog inventara) i ostalih nespomenutih usluga.</w:t>
      </w:r>
    </w:p>
    <w:p w14:paraId="0154FDB0" w14:textId="77777777" w:rsidR="0010088D" w:rsidRDefault="0010088D"/>
    <w:p w14:paraId="3494FDFD" w14:textId="77777777" w:rsidR="0010088D" w:rsidRDefault="00000000">
      <w:pPr>
        <w:keepNext/>
        <w:spacing w:line="240" w:lineRule="auto"/>
        <w:jc w:val="center"/>
      </w:pPr>
      <w:r>
        <w:rPr>
          <w:sz w:val="28"/>
        </w:rPr>
        <w:t>Bilješka 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883"/>
        <w:gridCol w:w="4008"/>
        <w:gridCol w:w="882"/>
        <w:gridCol w:w="2345"/>
        <w:gridCol w:w="882"/>
      </w:tblGrid>
      <w:tr w:rsidR="0010088D" w14:paraId="47068CE1"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2E09D77" w14:textId="77777777" w:rsidR="0010088D"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0E05B94F" w14:textId="77777777" w:rsidR="0010088D"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CA2CA0B" w14:textId="77777777" w:rsidR="0010088D"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C2DC044" w14:textId="77777777" w:rsidR="0010088D" w:rsidRDefault="0000000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6235DA5A" w14:textId="77777777" w:rsidR="0010088D" w:rsidRDefault="00000000">
            <w:pPr>
              <w:keepNext/>
              <w:keepLines/>
              <w:spacing w:after="0" w:line="240" w:lineRule="auto"/>
              <w:jc w:val="center"/>
            </w:pPr>
            <w:r>
              <w:rPr>
                <w:b/>
                <w:sz w:val="18"/>
              </w:rPr>
              <w:t>Indeks (%)</w:t>
            </w:r>
          </w:p>
        </w:tc>
      </w:tr>
      <w:tr w:rsidR="0010088D" w14:paraId="44D30A84" w14:textId="77777777">
        <w:tblPrEx>
          <w:tblCellMar>
            <w:top w:w="0" w:type="dxa"/>
            <w:bottom w:w="0" w:type="dxa"/>
          </w:tblCellMar>
        </w:tblPrEx>
        <w:trPr>
          <w:cantSplit/>
          <w:trHeight w:val="560"/>
        </w:trPr>
        <w:tc>
          <w:tcPr>
            <w:tcW w:w="700" w:type="dxa"/>
            <w:tcMar>
              <w:top w:w="0" w:type="dxa"/>
              <w:bottom w:w="0" w:type="dxa"/>
            </w:tcMar>
            <w:vAlign w:val="center"/>
          </w:tcPr>
          <w:p w14:paraId="615779F0" w14:textId="77777777" w:rsidR="0010088D" w:rsidRDefault="0010088D">
            <w:pPr>
              <w:keepNext/>
              <w:keepLines/>
              <w:spacing w:after="0" w:line="240" w:lineRule="auto"/>
            </w:pPr>
          </w:p>
        </w:tc>
        <w:tc>
          <w:tcPr>
            <w:tcW w:w="3180" w:type="dxa"/>
            <w:tcMar>
              <w:top w:w="0" w:type="dxa"/>
              <w:bottom w:w="0" w:type="dxa"/>
            </w:tcMar>
            <w:vAlign w:val="center"/>
          </w:tcPr>
          <w:p w14:paraId="73EDE319" w14:textId="77777777" w:rsidR="0010088D" w:rsidRDefault="00000000">
            <w:pPr>
              <w:keepNext/>
              <w:keepLines/>
              <w:spacing w:after="0" w:line="240" w:lineRule="auto"/>
            </w:pPr>
            <w:r>
              <w:rPr>
                <w:sz w:val="18"/>
              </w:rPr>
              <w:t>Stanje nedospjelih obveza na kraju izvještajnog razdoblja (šifre V010 + ND23 + ND24 + 'ND dio 25,26' + ND27)</w:t>
            </w:r>
          </w:p>
        </w:tc>
        <w:tc>
          <w:tcPr>
            <w:tcW w:w="700" w:type="dxa"/>
            <w:tcMar>
              <w:top w:w="0" w:type="dxa"/>
              <w:bottom w:w="0" w:type="dxa"/>
            </w:tcMar>
            <w:vAlign w:val="center"/>
          </w:tcPr>
          <w:p w14:paraId="082E1A0A" w14:textId="77777777" w:rsidR="0010088D" w:rsidRDefault="00000000">
            <w:pPr>
              <w:keepNext/>
              <w:keepLines/>
              <w:spacing w:after="0" w:line="240" w:lineRule="auto"/>
            </w:pPr>
            <w:r>
              <w:rPr>
                <w:sz w:val="18"/>
              </w:rPr>
              <w:t>V009</w:t>
            </w:r>
          </w:p>
        </w:tc>
        <w:tc>
          <w:tcPr>
            <w:tcW w:w="1860" w:type="dxa"/>
            <w:tcMar>
              <w:top w:w="0" w:type="dxa"/>
              <w:bottom w:w="0" w:type="dxa"/>
            </w:tcMar>
            <w:vAlign w:val="center"/>
          </w:tcPr>
          <w:p w14:paraId="6BA9B118" w14:textId="77777777" w:rsidR="0010088D" w:rsidRDefault="00000000">
            <w:pPr>
              <w:keepNext/>
              <w:keepLines/>
              <w:spacing w:after="0" w:line="240" w:lineRule="auto"/>
              <w:jc w:val="right"/>
            </w:pPr>
            <w:r>
              <w:rPr>
                <w:sz w:val="18"/>
              </w:rPr>
              <w:t>73.557,96</w:t>
            </w:r>
          </w:p>
        </w:tc>
        <w:tc>
          <w:tcPr>
            <w:tcW w:w="700" w:type="dxa"/>
            <w:tcMar>
              <w:top w:w="0" w:type="dxa"/>
              <w:bottom w:w="0" w:type="dxa"/>
            </w:tcMar>
            <w:vAlign w:val="center"/>
          </w:tcPr>
          <w:p w14:paraId="67FBE026" w14:textId="77777777" w:rsidR="0010088D" w:rsidRDefault="00000000">
            <w:pPr>
              <w:keepNext/>
              <w:keepLines/>
              <w:spacing w:after="0" w:line="240" w:lineRule="auto"/>
              <w:jc w:val="right"/>
            </w:pPr>
            <w:r>
              <w:rPr>
                <w:sz w:val="18"/>
              </w:rPr>
              <w:t>-</w:t>
            </w:r>
          </w:p>
        </w:tc>
      </w:tr>
    </w:tbl>
    <w:p w14:paraId="6F473554" w14:textId="77777777" w:rsidR="0010088D" w:rsidRDefault="0010088D">
      <w:pPr>
        <w:spacing w:after="0"/>
      </w:pPr>
    </w:p>
    <w:p w14:paraId="19D5CD61" w14:textId="77777777" w:rsidR="0010088D" w:rsidRDefault="00000000">
      <w:pPr>
        <w:spacing w:line="240" w:lineRule="auto"/>
        <w:jc w:val="both"/>
      </w:pPr>
      <w:r>
        <w:t>Stanje nedospjelih obveza na kraju izvještajnog razdoblja iznosi 73.557,96 eura. Iznos od 69.811,12 eura odnosi se na obveze za zaposlene (plaća za 06 mjesec 2025. godine) dok se iznos od 3.746,84 odnosi na nedospjele obveze prema dobavljačima za materijal i energiju .</w:t>
      </w:r>
    </w:p>
    <w:p w14:paraId="3A34D170" w14:textId="77777777" w:rsidR="0010088D" w:rsidRDefault="0010088D"/>
    <w:sectPr w:rsidR="001008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88D"/>
    <w:rsid w:val="0010088D"/>
    <w:rsid w:val="00532956"/>
    <w:rsid w:val="00FC14A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090C8"/>
  <w15:docId w15:val="{10E67C83-F17A-4375-8F03-34818F65D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r-HR" w:eastAsia="hr-H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1134</Words>
  <Characters>6470</Characters>
  <Application>Microsoft Office Word</Application>
  <DocSecurity>0</DocSecurity>
  <Lines>53</Lines>
  <Paragraphs>15</Paragraphs>
  <ScaleCrop>false</ScaleCrop>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Korisnik1</dc:creator>
  <cp:lastModifiedBy>Vrtić Škrinjica</cp:lastModifiedBy>
  <cp:revision>2</cp:revision>
  <dcterms:created xsi:type="dcterms:W3CDTF">2025-07-22T05:54:00Z</dcterms:created>
  <dcterms:modified xsi:type="dcterms:W3CDTF">2025-07-22T05:54:00Z</dcterms:modified>
</cp:coreProperties>
</file>