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C524F6" w14:paraId="422F1925" w14:textId="77777777">
        <w:trPr>
          <w:tblCellSpacing w:w="60" w:type="dxa"/>
        </w:trPr>
        <w:tc>
          <w:tcPr>
            <w:tcW w:w="1200" w:type="pct"/>
            <w:shd w:val="clear" w:color="auto" w:fill="E7F0F9"/>
          </w:tcPr>
          <w:p w14:paraId="06ABDA08" w14:textId="77777777" w:rsidR="00C524F6" w:rsidRDefault="00000000">
            <w:pPr>
              <w:spacing w:after="0" w:line="240" w:lineRule="auto"/>
            </w:pPr>
            <w:r>
              <w:rPr>
                <w:b/>
              </w:rPr>
              <w:t>RKP broj</w:t>
            </w:r>
          </w:p>
        </w:tc>
        <w:tc>
          <w:tcPr>
            <w:tcW w:w="0" w:type="auto"/>
            <w:shd w:val="clear" w:color="auto" w:fill="E7F0F9"/>
          </w:tcPr>
          <w:p w14:paraId="09D81876" w14:textId="77777777" w:rsidR="00C524F6" w:rsidRDefault="00000000">
            <w:pPr>
              <w:spacing w:after="0" w:line="240" w:lineRule="auto"/>
            </w:pPr>
            <w:r>
              <w:t>31309</w:t>
            </w:r>
          </w:p>
        </w:tc>
      </w:tr>
      <w:tr w:rsidR="00C524F6" w14:paraId="0F707C14" w14:textId="77777777">
        <w:trPr>
          <w:tblCellSpacing w:w="60" w:type="dxa"/>
        </w:trPr>
        <w:tc>
          <w:tcPr>
            <w:tcW w:w="1200" w:type="pct"/>
            <w:shd w:val="clear" w:color="auto" w:fill="E7F0F9"/>
          </w:tcPr>
          <w:p w14:paraId="23E475B6" w14:textId="77777777" w:rsidR="00C524F6" w:rsidRDefault="00000000">
            <w:pPr>
              <w:spacing w:after="0" w:line="240" w:lineRule="auto"/>
            </w:pPr>
            <w:r>
              <w:rPr>
                <w:b/>
              </w:rPr>
              <w:t>Naziv obveznika</w:t>
            </w:r>
          </w:p>
        </w:tc>
        <w:tc>
          <w:tcPr>
            <w:tcW w:w="0" w:type="auto"/>
            <w:shd w:val="clear" w:color="auto" w:fill="E7F0F9"/>
          </w:tcPr>
          <w:p w14:paraId="0E8495B8" w14:textId="77777777" w:rsidR="00C524F6" w:rsidRDefault="00000000">
            <w:pPr>
              <w:spacing w:after="0" w:line="240" w:lineRule="auto"/>
            </w:pPr>
            <w:r>
              <w:t>DJEČJI VRTIĆ ŠKRINJICA</w:t>
            </w:r>
          </w:p>
        </w:tc>
      </w:tr>
      <w:tr w:rsidR="00C524F6" w14:paraId="0640185F" w14:textId="77777777">
        <w:trPr>
          <w:tblCellSpacing w:w="60" w:type="dxa"/>
        </w:trPr>
        <w:tc>
          <w:tcPr>
            <w:tcW w:w="1200" w:type="pct"/>
            <w:shd w:val="clear" w:color="auto" w:fill="E7F0F9"/>
          </w:tcPr>
          <w:p w14:paraId="6954C2A3" w14:textId="77777777" w:rsidR="00C524F6" w:rsidRDefault="00000000">
            <w:pPr>
              <w:spacing w:after="0" w:line="240" w:lineRule="auto"/>
            </w:pPr>
            <w:r>
              <w:rPr>
                <w:b/>
              </w:rPr>
              <w:t>Razina</w:t>
            </w:r>
          </w:p>
        </w:tc>
        <w:tc>
          <w:tcPr>
            <w:tcW w:w="0" w:type="auto"/>
            <w:shd w:val="clear" w:color="auto" w:fill="E7F0F9"/>
          </w:tcPr>
          <w:p w14:paraId="73BBC9F8" w14:textId="77777777" w:rsidR="00C524F6" w:rsidRDefault="00000000">
            <w:pPr>
              <w:spacing w:after="0" w:line="240" w:lineRule="auto"/>
            </w:pPr>
            <w:r>
              <w:t>21</w:t>
            </w:r>
          </w:p>
        </w:tc>
      </w:tr>
    </w:tbl>
    <w:p w14:paraId="63F3AFEE" w14:textId="77777777" w:rsidR="00C524F6" w:rsidRDefault="00000000">
      <w:r>
        <w:br/>
      </w:r>
    </w:p>
    <w:p w14:paraId="16B118E0" w14:textId="77777777" w:rsidR="00C524F6" w:rsidRDefault="00000000">
      <w:pPr>
        <w:spacing w:line="240" w:lineRule="auto"/>
        <w:jc w:val="center"/>
      </w:pPr>
      <w:r>
        <w:rPr>
          <w:b/>
          <w:sz w:val="28"/>
        </w:rPr>
        <w:t>BILJEŠKE UZ FINANCIJSKE IZVJEŠTAJE</w:t>
      </w:r>
    </w:p>
    <w:p w14:paraId="231413EE" w14:textId="77777777" w:rsidR="00C524F6" w:rsidRDefault="00000000">
      <w:pPr>
        <w:spacing w:line="240" w:lineRule="auto"/>
        <w:jc w:val="center"/>
      </w:pPr>
      <w:r>
        <w:rPr>
          <w:b/>
          <w:sz w:val="28"/>
        </w:rPr>
        <w:t>ZA RAZDOBLJE</w:t>
      </w:r>
    </w:p>
    <w:p w14:paraId="544D6109" w14:textId="77777777" w:rsidR="00C524F6" w:rsidRDefault="00000000">
      <w:pPr>
        <w:spacing w:line="240" w:lineRule="auto"/>
        <w:jc w:val="center"/>
      </w:pPr>
      <w:r>
        <w:rPr>
          <w:b/>
          <w:sz w:val="28"/>
        </w:rPr>
        <w:t>I - XII 2025.</w:t>
      </w:r>
    </w:p>
    <w:p w14:paraId="37906C5D" w14:textId="77777777" w:rsidR="00C524F6" w:rsidRDefault="00C524F6"/>
    <w:p w14:paraId="3A99FA50" w14:textId="77777777" w:rsidR="00C524F6" w:rsidRDefault="00000000">
      <w:pPr>
        <w:keepNext/>
        <w:spacing w:line="240" w:lineRule="auto"/>
        <w:jc w:val="center"/>
      </w:pPr>
      <w:r>
        <w:rPr>
          <w:b/>
          <w:sz w:val="28"/>
        </w:rPr>
        <w:t>Izvještaj o prihodima i rashodima, primicima i izdacima</w:t>
      </w:r>
    </w:p>
    <w:p w14:paraId="40249053" w14:textId="77777777" w:rsidR="00C524F6"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524F6" w14:paraId="52B5B0BA" w14:textId="77777777">
        <w:trPr>
          <w:cantSplit/>
        </w:trPr>
        <w:tc>
          <w:tcPr>
            <w:tcW w:w="700" w:type="dxa"/>
            <w:shd w:val="clear" w:color="auto" w:fill="E7F0F9"/>
            <w:tcMar>
              <w:top w:w="0" w:type="dxa"/>
              <w:bottom w:w="0" w:type="dxa"/>
            </w:tcMar>
            <w:vAlign w:val="center"/>
          </w:tcPr>
          <w:p w14:paraId="55C1A202" w14:textId="77777777" w:rsidR="00C524F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71091D" w14:textId="77777777" w:rsidR="00C524F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773D9C" w14:textId="77777777" w:rsidR="00C524F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833341" w14:textId="77777777" w:rsidR="00C524F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52490C" w14:textId="77777777" w:rsidR="00C524F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C94054" w14:textId="77777777" w:rsidR="00C524F6" w:rsidRDefault="00000000">
            <w:pPr>
              <w:keepNext/>
              <w:keepLines/>
              <w:spacing w:after="0" w:line="240" w:lineRule="auto"/>
              <w:jc w:val="center"/>
            </w:pPr>
            <w:r>
              <w:rPr>
                <w:b/>
                <w:sz w:val="18"/>
              </w:rPr>
              <w:t>Indeks (%)</w:t>
            </w:r>
          </w:p>
        </w:tc>
      </w:tr>
      <w:tr w:rsidR="00C524F6" w14:paraId="6F5E6AB0" w14:textId="77777777">
        <w:trPr>
          <w:cantSplit/>
          <w:trHeight w:val="560"/>
        </w:trPr>
        <w:tc>
          <w:tcPr>
            <w:tcW w:w="700" w:type="dxa"/>
            <w:tcMar>
              <w:top w:w="0" w:type="dxa"/>
              <w:bottom w:w="0" w:type="dxa"/>
            </w:tcMar>
            <w:vAlign w:val="center"/>
          </w:tcPr>
          <w:p w14:paraId="1F49C416" w14:textId="77777777" w:rsidR="00C524F6" w:rsidRDefault="00000000">
            <w:pPr>
              <w:keepNext/>
              <w:keepLines/>
              <w:spacing w:after="0" w:line="240" w:lineRule="auto"/>
            </w:pPr>
            <w:r>
              <w:rPr>
                <w:sz w:val="18"/>
              </w:rPr>
              <w:t>6</w:t>
            </w:r>
          </w:p>
        </w:tc>
        <w:tc>
          <w:tcPr>
            <w:tcW w:w="3180" w:type="dxa"/>
            <w:tcMar>
              <w:top w:w="0" w:type="dxa"/>
              <w:bottom w:w="0" w:type="dxa"/>
            </w:tcMar>
            <w:vAlign w:val="center"/>
          </w:tcPr>
          <w:p w14:paraId="6BF444C6" w14:textId="77777777" w:rsidR="00C524F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4FF5665" w14:textId="77777777" w:rsidR="00C524F6" w:rsidRDefault="00000000">
            <w:pPr>
              <w:keepNext/>
              <w:keepLines/>
              <w:spacing w:after="0" w:line="240" w:lineRule="auto"/>
            </w:pPr>
            <w:r>
              <w:rPr>
                <w:sz w:val="18"/>
              </w:rPr>
              <w:t>6</w:t>
            </w:r>
          </w:p>
        </w:tc>
        <w:tc>
          <w:tcPr>
            <w:tcW w:w="1860" w:type="dxa"/>
            <w:tcMar>
              <w:top w:w="0" w:type="dxa"/>
              <w:bottom w:w="0" w:type="dxa"/>
            </w:tcMar>
            <w:vAlign w:val="center"/>
          </w:tcPr>
          <w:p w14:paraId="22A21AEA" w14:textId="77777777" w:rsidR="00C524F6" w:rsidRDefault="00000000">
            <w:pPr>
              <w:keepNext/>
              <w:keepLines/>
              <w:spacing w:after="0" w:line="240" w:lineRule="auto"/>
              <w:jc w:val="right"/>
            </w:pPr>
            <w:r>
              <w:rPr>
                <w:sz w:val="18"/>
              </w:rPr>
              <w:t>633.056,84</w:t>
            </w:r>
          </w:p>
        </w:tc>
        <w:tc>
          <w:tcPr>
            <w:tcW w:w="1860" w:type="dxa"/>
            <w:tcMar>
              <w:top w:w="0" w:type="dxa"/>
              <w:bottom w:w="0" w:type="dxa"/>
            </w:tcMar>
            <w:vAlign w:val="center"/>
          </w:tcPr>
          <w:p w14:paraId="3FEF3BA7" w14:textId="77777777" w:rsidR="00C524F6" w:rsidRDefault="00000000">
            <w:pPr>
              <w:keepNext/>
              <w:keepLines/>
              <w:spacing w:after="0" w:line="240" w:lineRule="auto"/>
              <w:jc w:val="right"/>
            </w:pPr>
            <w:r>
              <w:rPr>
                <w:sz w:val="18"/>
              </w:rPr>
              <w:t>960.457,52</w:t>
            </w:r>
          </w:p>
        </w:tc>
        <w:tc>
          <w:tcPr>
            <w:tcW w:w="700" w:type="dxa"/>
            <w:tcMar>
              <w:top w:w="0" w:type="dxa"/>
              <w:bottom w:w="0" w:type="dxa"/>
            </w:tcMar>
            <w:vAlign w:val="center"/>
          </w:tcPr>
          <w:p w14:paraId="57D05BCB" w14:textId="77777777" w:rsidR="00C524F6" w:rsidRDefault="00000000">
            <w:pPr>
              <w:keepNext/>
              <w:keepLines/>
              <w:spacing w:after="0" w:line="240" w:lineRule="auto"/>
              <w:jc w:val="right"/>
            </w:pPr>
            <w:r>
              <w:rPr>
                <w:sz w:val="18"/>
              </w:rPr>
              <w:t>151,7</w:t>
            </w:r>
          </w:p>
        </w:tc>
      </w:tr>
      <w:tr w:rsidR="00C524F6" w14:paraId="3143AEAD" w14:textId="77777777">
        <w:trPr>
          <w:cantSplit/>
          <w:trHeight w:val="560"/>
        </w:trPr>
        <w:tc>
          <w:tcPr>
            <w:tcW w:w="700" w:type="dxa"/>
            <w:tcMar>
              <w:top w:w="0" w:type="dxa"/>
              <w:bottom w:w="0" w:type="dxa"/>
            </w:tcMar>
            <w:vAlign w:val="center"/>
          </w:tcPr>
          <w:p w14:paraId="142FCA04" w14:textId="77777777" w:rsidR="00C524F6" w:rsidRDefault="00000000">
            <w:pPr>
              <w:keepNext/>
              <w:keepLines/>
              <w:spacing w:after="0" w:line="240" w:lineRule="auto"/>
            </w:pPr>
            <w:r>
              <w:rPr>
                <w:sz w:val="18"/>
              </w:rPr>
              <w:t>3</w:t>
            </w:r>
          </w:p>
        </w:tc>
        <w:tc>
          <w:tcPr>
            <w:tcW w:w="3180" w:type="dxa"/>
            <w:tcMar>
              <w:top w:w="0" w:type="dxa"/>
              <w:bottom w:w="0" w:type="dxa"/>
            </w:tcMar>
            <w:vAlign w:val="center"/>
          </w:tcPr>
          <w:p w14:paraId="0865BA79" w14:textId="77777777" w:rsidR="00C524F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1AF5E38" w14:textId="77777777" w:rsidR="00C524F6" w:rsidRDefault="00000000">
            <w:pPr>
              <w:keepNext/>
              <w:keepLines/>
              <w:spacing w:after="0" w:line="240" w:lineRule="auto"/>
            </w:pPr>
            <w:r>
              <w:rPr>
                <w:sz w:val="18"/>
              </w:rPr>
              <w:t>3</w:t>
            </w:r>
          </w:p>
        </w:tc>
        <w:tc>
          <w:tcPr>
            <w:tcW w:w="1860" w:type="dxa"/>
            <w:tcMar>
              <w:top w:w="0" w:type="dxa"/>
              <w:bottom w:w="0" w:type="dxa"/>
            </w:tcMar>
            <w:vAlign w:val="center"/>
          </w:tcPr>
          <w:p w14:paraId="7FBE4EE6" w14:textId="77777777" w:rsidR="00C524F6" w:rsidRDefault="00000000">
            <w:pPr>
              <w:keepNext/>
              <w:keepLines/>
              <w:spacing w:after="0" w:line="240" w:lineRule="auto"/>
              <w:jc w:val="right"/>
            </w:pPr>
            <w:r>
              <w:rPr>
                <w:sz w:val="18"/>
              </w:rPr>
              <w:t>628.158,19</w:t>
            </w:r>
          </w:p>
        </w:tc>
        <w:tc>
          <w:tcPr>
            <w:tcW w:w="1860" w:type="dxa"/>
            <w:tcMar>
              <w:top w:w="0" w:type="dxa"/>
              <w:bottom w:w="0" w:type="dxa"/>
            </w:tcMar>
            <w:vAlign w:val="center"/>
          </w:tcPr>
          <w:p w14:paraId="42E5D57A" w14:textId="77777777" w:rsidR="00C524F6" w:rsidRDefault="00000000">
            <w:pPr>
              <w:keepNext/>
              <w:keepLines/>
              <w:spacing w:after="0" w:line="240" w:lineRule="auto"/>
              <w:jc w:val="right"/>
            </w:pPr>
            <w:r>
              <w:rPr>
                <w:sz w:val="18"/>
              </w:rPr>
              <w:t>1.037.227,40</w:t>
            </w:r>
          </w:p>
        </w:tc>
        <w:tc>
          <w:tcPr>
            <w:tcW w:w="700" w:type="dxa"/>
            <w:tcMar>
              <w:top w:w="0" w:type="dxa"/>
              <w:bottom w:w="0" w:type="dxa"/>
            </w:tcMar>
            <w:vAlign w:val="center"/>
          </w:tcPr>
          <w:p w14:paraId="063B6FFB" w14:textId="77777777" w:rsidR="00C524F6" w:rsidRDefault="00000000">
            <w:pPr>
              <w:keepNext/>
              <w:keepLines/>
              <w:spacing w:after="0" w:line="240" w:lineRule="auto"/>
              <w:jc w:val="right"/>
            </w:pPr>
            <w:r>
              <w:rPr>
                <w:sz w:val="18"/>
              </w:rPr>
              <w:t>165,1</w:t>
            </w:r>
          </w:p>
        </w:tc>
      </w:tr>
      <w:tr w:rsidR="00C524F6" w14:paraId="4380ECD6" w14:textId="77777777">
        <w:trPr>
          <w:cantSplit/>
          <w:trHeight w:val="560"/>
        </w:trPr>
        <w:tc>
          <w:tcPr>
            <w:tcW w:w="700" w:type="dxa"/>
            <w:tcMar>
              <w:top w:w="0" w:type="dxa"/>
              <w:bottom w:w="0" w:type="dxa"/>
            </w:tcMar>
            <w:vAlign w:val="center"/>
          </w:tcPr>
          <w:p w14:paraId="0C90E90F" w14:textId="77777777" w:rsidR="00C524F6" w:rsidRDefault="00C524F6">
            <w:pPr>
              <w:keepNext/>
              <w:keepLines/>
              <w:spacing w:after="0" w:line="240" w:lineRule="auto"/>
            </w:pPr>
          </w:p>
        </w:tc>
        <w:tc>
          <w:tcPr>
            <w:tcW w:w="3180" w:type="dxa"/>
            <w:tcMar>
              <w:top w:w="0" w:type="dxa"/>
              <w:bottom w:w="0" w:type="dxa"/>
            </w:tcMar>
            <w:vAlign w:val="center"/>
          </w:tcPr>
          <w:p w14:paraId="2E499F7E" w14:textId="77777777" w:rsidR="00C524F6"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597883B5" w14:textId="77777777" w:rsidR="00C524F6" w:rsidRDefault="00000000">
            <w:pPr>
              <w:keepNext/>
              <w:keepLines/>
              <w:spacing w:after="0" w:line="240" w:lineRule="auto"/>
            </w:pPr>
            <w:r>
              <w:rPr>
                <w:b/>
                <w:sz w:val="18"/>
              </w:rPr>
              <w:t>Y001</w:t>
            </w:r>
          </w:p>
        </w:tc>
        <w:tc>
          <w:tcPr>
            <w:tcW w:w="1860" w:type="dxa"/>
            <w:tcMar>
              <w:top w:w="0" w:type="dxa"/>
              <w:bottom w:w="0" w:type="dxa"/>
            </w:tcMar>
            <w:vAlign w:val="center"/>
          </w:tcPr>
          <w:p w14:paraId="7F6195E9" w14:textId="77777777" w:rsidR="00C524F6" w:rsidRDefault="00000000">
            <w:pPr>
              <w:keepNext/>
              <w:keepLines/>
              <w:spacing w:after="0" w:line="240" w:lineRule="auto"/>
              <w:jc w:val="right"/>
            </w:pPr>
            <w:r>
              <w:rPr>
                <w:b/>
                <w:sz w:val="18"/>
              </w:rPr>
              <w:t>0,00</w:t>
            </w:r>
          </w:p>
        </w:tc>
        <w:tc>
          <w:tcPr>
            <w:tcW w:w="1860" w:type="dxa"/>
            <w:tcMar>
              <w:top w:w="0" w:type="dxa"/>
              <w:bottom w:w="0" w:type="dxa"/>
            </w:tcMar>
            <w:vAlign w:val="center"/>
          </w:tcPr>
          <w:p w14:paraId="5DC0FFB5" w14:textId="77777777" w:rsidR="00C524F6" w:rsidRDefault="00000000">
            <w:pPr>
              <w:keepNext/>
              <w:keepLines/>
              <w:spacing w:after="0" w:line="240" w:lineRule="auto"/>
              <w:jc w:val="right"/>
            </w:pPr>
            <w:r>
              <w:rPr>
                <w:b/>
                <w:sz w:val="18"/>
              </w:rPr>
              <w:t>76.769,88</w:t>
            </w:r>
          </w:p>
        </w:tc>
        <w:tc>
          <w:tcPr>
            <w:tcW w:w="700" w:type="dxa"/>
            <w:tcMar>
              <w:top w:w="0" w:type="dxa"/>
              <w:bottom w:w="0" w:type="dxa"/>
            </w:tcMar>
            <w:vAlign w:val="center"/>
          </w:tcPr>
          <w:p w14:paraId="501EAA87" w14:textId="77777777" w:rsidR="00C524F6" w:rsidRDefault="00000000">
            <w:pPr>
              <w:keepNext/>
              <w:keepLines/>
              <w:spacing w:after="0" w:line="240" w:lineRule="auto"/>
              <w:jc w:val="right"/>
            </w:pPr>
            <w:r>
              <w:rPr>
                <w:b/>
                <w:sz w:val="18"/>
              </w:rPr>
              <w:t>-</w:t>
            </w:r>
          </w:p>
        </w:tc>
      </w:tr>
      <w:tr w:rsidR="00C524F6" w14:paraId="31C2766A" w14:textId="77777777">
        <w:trPr>
          <w:cantSplit/>
          <w:trHeight w:val="560"/>
        </w:trPr>
        <w:tc>
          <w:tcPr>
            <w:tcW w:w="700" w:type="dxa"/>
            <w:tcMar>
              <w:top w:w="0" w:type="dxa"/>
              <w:bottom w:w="0" w:type="dxa"/>
            </w:tcMar>
            <w:vAlign w:val="center"/>
          </w:tcPr>
          <w:p w14:paraId="440AA7E2" w14:textId="77777777" w:rsidR="00C524F6" w:rsidRDefault="00000000">
            <w:pPr>
              <w:keepNext/>
              <w:keepLines/>
              <w:spacing w:after="0" w:line="240" w:lineRule="auto"/>
            </w:pPr>
            <w:r>
              <w:rPr>
                <w:sz w:val="18"/>
              </w:rPr>
              <w:t>7</w:t>
            </w:r>
          </w:p>
        </w:tc>
        <w:tc>
          <w:tcPr>
            <w:tcW w:w="3180" w:type="dxa"/>
            <w:tcMar>
              <w:top w:w="0" w:type="dxa"/>
              <w:bottom w:w="0" w:type="dxa"/>
            </w:tcMar>
            <w:vAlign w:val="center"/>
          </w:tcPr>
          <w:p w14:paraId="67D75048" w14:textId="77777777" w:rsidR="00C524F6"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A2FC96D" w14:textId="77777777" w:rsidR="00C524F6" w:rsidRDefault="00000000">
            <w:pPr>
              <w:keepNext/>
              <w:keepLines/>
              <w:spacing w:after="0" w:line="240" w:lineRule="auto"/>
            </w:pPr>
            <w:r>
              <w:rPr>
                <w:sz w:val="18"/>
              </w:rPr>
              <w:t>7</w:t>
            </w:r>
          </w:p>
        </w:tc>
        <w:tc>
          <w:tcPr>
            <w:tcW w:w="1860" w:type="dxa"/>
            <w:tcMar>
              <w:top w:w="0" w:type="dxa"/>
              <w:bottom w:w="0" w:type="dxa"/>
            </w:tcMar>
            <w:vAlign w:val="center"/>
          </w:tcPr>
          <w:p w14:paraId="264F2A53" w14:textId="77777777" w:rsidR="00C524F6" w:rsidRDefault="00000000">
            <w:pPr>
              <w:keepNext/>
              <w:keepLines/>
              <w:spacing w:after="0" w:line="240" w:lineRule="auto"/>
              <w:jc w:val="right"/>
            </w:pPr>
            <w:r>
              <w:rPr>
                <w:sz w:val="18"/>
              </w:rPr>
              <w:t>0,00</w:t>
            </w:r>
          </w:p>
        </w:tc>
        <w:tc>
          <w:tcPr>
            <w:tcW w:w="1860" w:type="dxa"/>
            <w:tcMar>
              <w:top w:w="0" w:type="dxa"/>
              <w:bottom w:w="0" w:type="dxa"/>
            </w:tcMar>
            <w:vAlign w:val="center"/>
          </w:tcPr>
          <w:p w14:paraId="46176FD1" w14:textId="77777777" w:rsidR="00C524F6" w:rsidRDefault="00000000">
            <w:pPr>
              <w:keepNext/>
              <w:keepLines/>
              <w:spacing w:after="0" w:line="240" w:lineRule="auto"/>
              <w:jc w:val="right"/>
            </w:pPr>
            <w:r>
              <w:rPr>
                <w:sz w:val="18"/>
              </w:rPr>
              <w:t>0,00</w:t>
            </w:r>
          </w:p>
        </w:tc>
        <w:tc>
          <w:tcPr>
            <w:tcW w:w="700" w:type="dxa"/>
            <w:tcMar>
              <w:top w:w="0" w:type="dxa"/>
              <w:bottom w:w="0" w:type="dxa"/>
            </w:tcMar>
            <w:vAlign w:val="center"/>
          </w:tcPr>
          <w:p w14:paraId="0C299193" w14:textId="77777777" w:rsidR="00C524F6" w:rsidRDefault="00000000">
            <w:pPr>
              <w:keepNext/>
              <w:keepLines/>
              <w:spacing w:after="0" w:line="240" w:lineRule="auto"/>
              <w:jc w:val="right"/>
            </w:pPr>
            <w:r>
              <w:rPr>
                <w:sz w:val="18"/>
              </w:rPr>
              <w:t>-</w:t>
            </w:r>
          </w:p>
        </w:tc>
      </w:tr>
      <w:tr w:rsidR="00C524F6" w14:paraId="485243F3" w14:textId="77777777">
        <w:trPr>
          <w:cantSplit/>
          <w:trHeight w:val="560"/>
        </w:trPr>
        <w:tc>
          <w:tcPr>
            <w:tcW w:w="700" w:type="dxa"/>
            <w:tcMar>
              <w:top w:w="0" w:type="dxa"/>
              <w:bottom w:w="0" w:type="dxa"/>
            </w:tcMar>
            <w:vAlign w:val="center"/>
          </w:tcPr>
          <w:p w14:paraId="0C459B53" w14:textId="77777777" w:rsidR="00C524F6" w:rsidRDefault="00000000">
            <w:pPr>
              <w:keepNext/>
              <w:keepLines/>
              <w:spacing w:after="0" w:line="240" w:lineRule="auto"/>
            </w:pPr>
            <w:r>
              <w:rPr>
                <w:sz w:val="18"/>
              </w:rPr>
              <w:t>4</w:t>
            </w:r>
          </w:p>
        </w:tc>
        <w:tc>
          <w:tcPr>
            <w:tcW w:w="3180" w:type="dxa"/>
            <w:tcMar>
              <w:top w:w="0" w:type="dxa"/>
              <w:bottom w:w="0" w:type="dxa"/>
            </w:tcMar>
            <w:vAlign w:val="center"/>
          </w:tcPr>
          <w:p w14:paraId="65647852" w14:textId="77777777" w:rsidR="00C524F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A68D254" w14:textId="77777777" w:rsidR="00C524F6" w:rsidRDefault="00000000">
            <w:pPr>
              <w:keepNext/>
              <w:keepLines/>
              <w:spacing w:after="0" w:line="240" w:lineRule="auto"/>
            </w:pPr>
            <w:r>
              <w:rPr>
                <w:sz w:val="18"/>
              </w:rPr>
              <w:t>4</w:t>
            </w:r>
          </w:p>
        </w:tc>
        <w:tc>
          <w:tcPr>
            <w:tcW w:w="1860" w:type="dxa"/>
            <w:tcMar>
              <w:top w:w="0" w:type="dxa"/>
              <w:bottom w:w="0" w:type="dxa"/>
            </w:tcMar>
            <w:vAlign w:val="center"/>
          </w:tcPr>
          <w:p w14:paraId="0259D9FA" w14:textId="77777777" w:rsidR="00C524F6" w:rsidRDefault="00000000">
            <w:pPr>
              <w:keepNext/>
              <w:keepLines/>
              <w:spacing w:after="0" w:line="240" w:lineRule="auto"/>
              <w:jc w:val="right"/>
            </w:pPr>
            <w:r>
              <w:rPr>
                <w:sz w:val="18"/>
              </w:rPr>
              <w:t>3.871,22</w:t>
            </w:r>
          </w:p>
        </w:tc>
        <w:tc>
          <w:tcPr>
            <w:tcW w:w="1860" w:type="dxa"/>
            <w:tcMar>
              <w:top w:w="0" w:type="dxa"/>
              <w:bottom w:w="0" w:type="dxa"/>
            </w:tcMar>
            <w:vAlign w:val="center"/>
          </w:tcPr>
          <w:p w14:paraId="4C0C1028" w14:textId="77777777" w:rsidR="00C524F6" w:rsidRDefault="00000000">
            <w:pPr>
              <w:keepNext/>
              <w:keepLines/>
              <w:spacing w:after="0" w:line="240" w:lineRule="auto"/>
              <w:jc w:val="right"/>
            </w:pPr>
            <w:r>
              <w:rPr>
                <w:sz w:val="18"/>
              </w:rPr>
              <w:t>4.734,09</w:t>
            </w:r>
          </w:p>
        </w:tc>
        <w:tc>
          <w:tcPr>
            <w:tcW w:w="700" w:type="dxa"/>
            <w:tcMar>
              <w:top w:w="0" w:type="dxa"/>
              <w:bottom w:w="0" w:type="dxa"/>
            </w:tcMar>
            <w:vAlign w:val="center"/>
          </w:tcPr>
          <w:p w14:paraId="05D49B30" w14:textId="77777777" w:rsidR="00C524F6" w:rsidRDefault="00000000">
            <w:pPr>
              <w:keepNext/>
              <w:keepLines/>
              <w:spacing w:after="0" w:line="240" w:lineRule="auto"/>
              <w:jc w:val="right"/>
            </w:pPr>
            <w:r>
              <w:rPr>
                <w:sz w:val="18"/>
              </w:rPr>
              <w:t>122,3</w:t>
            </w:r>
          </w:p>
        </w:tc>
      </w:tr>
      <w:tr w:rsidR="00C524F6" w14:paraId="43149D09" w14:textId="77777777">
        <w:trPr>
          <w:cantSplit/>
          <w:trHeight w:val="560"/>
        </w:trPr>
        <w:tc>
          <w:tcPr>
            <w:tcW w:w="700" w:type="dxa"/>
            <w:tcMar>
              <w:top w:w="0" w:type="dxa"/>
              <w:bottom w:w="0" w:type="dxa"/>
            </w:tcMar>
            <w:vAlign w:val="center"/>
          </w:tcPr>
          <w:p w14:paraId="17058E02" w14:textId="77777777" w:rsidR="00C524F6" w:rsidRDefault="00C524F6">
            <w:pPr>
              <w:keepNext/>
              <w:keepLines/>
              <w:spacing w:after="0" w:line="240" w:lineRule="auto"/>
            </w:pPr>
          </w:p>
        </w:tc>
        <w:tc>
          <w:tcPr>
            <w:tcW w:w="3180" w:type="dxa"/>
            <w:tcMar>
              <w:top w:w="0" w:type="dxa"/>
              <w:bottom w:w="0" w:type="dxa"/>
            </w:tcMar>
            <w:vAlign w:val="center"/>
          </w:tcPr>
          <w:p w14:paraId="4B259634" w14:textId="77777777" w:rsidR="00C524F6"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C001A8F" w14:textId="77777777" w:rsidR="00C524F6" w:rsidRDefault="00000000">
            <w:pPr>
              <w:keepNext/>
              <w:keepLines/>
              <w:spacing w:after="0" w:line="240" w:lineRule="auto"/>
            </w:pPr>
            <w:r>
              <w:rPr>
                <w:b/>
                <w:sz w:val="18"/>
              </w:rPr>
              <w:t>Y002</w:t>
            </w:r>
          </w:p>
        </w:tc>
        <w:tc>
          <w:tcPr>
            <w:tcW w:w="1860" w:type="dxa"/>
            <w:tcMar>
              <w:top w:w="0" w:type="dxa"/>
              <w:bottom w:w="0" w:type="dxa"/>
            </w:tcMar>
            <w:vAlign w:val="center"/>
          </w:tcPr>
          <w:p w14:paraId="2B07DFB4" w14:textId="77777777" w:rsidR="00C524F6" w:rsidRDefault="00000000">
            <w:pPr>
              <w:keepNext/>
              <w:keepLines/>
              <w:spacing w:after="0" w:line="240" w:lineRule="auto"/>
              <w:jc w:val="right"/>
            </w:pPr>
            <w:r>
              <w:rPr>
                <w:b/>
                <w:sz w:val="18"/>
              </w:rPr>
              <w:t>3.871,22</w:t>
            </w:r>
          </w:p>
        </w:tc>
        <w:tc>
          <w:tcPr>
            <w:tcW w:w="1860" w:type="dxa"/>
            <w:tcMar>
              <w:top w:w="0" w:type="dxa"/>
              <w:bottom w:w="0" w:type="dxa"/>
            </w:tcMar>
            <w:vAlign w:val="center"/>
          </w:tcPr>
          <w:p w14:paraId="681DCAB0" w14:textId="77777777" w:rsidR="00C524F6" w:rsidRDefault="00000000">
            <w:pPr>
              <w:keepNext/>
              <w:keepLines/>
              <w:spacing w:after="0" w:line="240" w:lineRule="auto"/>
              <w:jc w:val="right"/>
            </w:pPr>
            <w:r>
              <w:rPr>
                <w:b/>
                <w:sz w:val="18"/>
              </w:rPr>
              <w:t>4.734,09</w:t>
            </w:r>
          </w:p>
        </w:tc>
        <w:tc>
          <w:tcPr>
            <w:tcW w:w="700" w:type="dxa"/>
            <w:tcMar>
              <w:top w:w="0" w:type="dxa"/>
              <w:bottom w:w="0" w:type="dxa"/>
            </w:tcMar>
            <w:vAlign w:val="center"/>
          </w:tcPr>
          <w:p w14:paraId="59F5BB05" w14:textId="77777777" w:rsidR="00C524F6" w:rsidRDefault="00000000">
            <w:pPr>
              <w:keepNext/>
              <w:keepLines/>
              <w:spacing w:after="0" w:line="240" w:lineRule="auto"/>
              <w:jc w:val="right"/>
            </w:pPr>
            <w:r>
              <w:rPr>
                <w:b/>
                <w:sz w:val="18"/>
              </w:rPr>
              <w:t>122,3</w:t>
            </w:r>
          </w:p>
        </w:tc>
      </w:tr>
      <w:tr w:rsidR="00C524F6" w14:paraId="2D72F646" w14:textId="77777777">
        <w:trPr>
          <w:cantSplit/>
          <w:trHeight w:val="560"/>
        </w:trPr>
        <w:tc>
          <w:tcPr>
            <w:tcW w:w="700" w:type="dxa"/>
            <w:tcMar>
              <w:top w:w="0" w:type="dxa"/>
              <w:bottom w:w="0" w:type="dxa"/>
            </w:tcMar>
            <w:vAlign w:val="center"/>
          </w:tcPr>
          <w:p w14:paraId="08D94388" w14:textId="77777777" w:rsidR="00C524F6" w:rsidRDefault="00000000">
            <w:pPr>
              <w:keepNext/>
              <w:keepLines/>
              <w:spacing w:after="0" w:line="240" w:lineRule="auto"/>
            </w:pPr>
            <w:r>
              <w:rPr>
                <w:sz w:val="18"/>
              </w:rPr>
              <w:t>8</w:t>
            </w:r>
          </w:p>
        </w:tc>
        <w:tc>
          <w:tcPr>
            <w:tcW w:w="3180" w:type="dxa"/>
            <w:tcMar>
              <w:top w:w="0" w:type="dxa"/>
              <w:bottom w:w="0" w:type="dxa"/>
            </w:tcMar>
            <w:vAlign w:val="center"/>
          </w:tcPr>
          <w:p w14:paraId="1200630B" w14:textId="77777777" w:rsidR="00C524F6"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3E45E09" w14:textId="77777777" w:rsidR="00C524F6" w:rsidRDefault="00000000">
            <w:pPr>
              <w:keepNext/>
              <w:keepLines/>
              <w:spacing w:after="0" w:line="240" w:lineRule="auto"/>
            </w:pPr>
            <w:r>
              <w:rPr>
                <w:sz w:val="18"/>
              </w:rPr>
              <w:t>8</w:t>
            </w:r>
          </w:p>
        </w:tc>
        <w:tc>
          <w:tcPr>
            <w:tcW w:w="1860" w:type="dxa"/>
            <w:tcMar>
              <w:top w:w="0" w:type="dxa"/>
              <w:bottom w:w="0" w:type="dxa"/>
            </w:tcMar>
            <w:vAlign w:val="center"/>
          </w:tcPr>
          <w:p w14:paraId="5AF84C38" w14:textId="77777777" w:rsidR="00C524F6" w:rsidRDefault="00000000">
            <w:pPr>
              <w:keepNext/>
              <w:keepLines/>
              <w:spacing w:after="0" w:line="240" w:lineRule="auto"/>
              <w:jc w:val="right"/>
            </w:pPr>
            <w:r>
              <w:rPr>
                <w:sz w:val="18"/>
              </w:rPr>
              <w:t>0,00</w:t>
            </w:r>
          </w:p>
        </w:tc>
        <w:tc>
          <w:tcPr>
            <w:tcW w:w="1860" w:type="dxa"/>
            <w:tcMar>
              <w:top w:w="0" w:type="dxa"/>
              <w:bottom w:w="0" w:type="dxa"/>
            </w:tcMar>
            <w:vAlign w:val="center"/>
          </w:tcPr>
          <w:p w14:paraId="0290EF18" w14:textId="77777777" w:rsidR="00C524F6" w:rsidRDefault="00000000">
            <w:pPr>
              <w:keepNext/>
              <w:keepLines/>
              <w:spacing w:after="0" w:line="240" w:lineRule="auto"/>
              <w:jc w:val="right"/>
            </w:pPr>
            <w:r>
              <w:rPr>
                <w:sz w:val="18"/>
              </w:rPr>
              <w:t>0,00</w:t>
            </w:r>
          </w:p>
        </w:tc>
        <w:tc>
          <w:tcPr>
            <w:tcW w:w="700" w:type="dxa"/>
            <w:tcMar>
              <w:top w:w="0" w:type="dxa"/>
              <w:bottom w:w="0" w:type="dxa"/>
            </w:tcMar>
            <w:vAlign w:val="center"/>
          </w:tcPr>
          <w:p w14:paraId="0D310AAB" w14:textId="77777777" w:rsidR="00C524F6" w:rsidRDefault="00000000">
            <w:pPr>
              <w:keepNext/>
              <w:keepLines/>
              <w:spacing w:after="0" w:line="240" w:lineRule="auto"/>
              <w:jc w:val="right"/>
            </w:pPr>
            <w:r>
              <w:rPr>
                <w:sz w:val="18"/>
              </w:rPr>
              <w:t>-</w:t>
            </w:r>
          </w:p>
        </w:tc>
      </w:tr>
      <w:tr w:rsidR="00C524F6" w14:paraId="569CD94C" w14:textId="77777777">
        <w:trPr>
          <w:cantSplit/>
          <w:trHeight w:val="560"/>
        </w:trPr>
        <w:tc>
          <w:tcPr>
            <w:tcW w:w="700" w:type="dxa"/>
            <w:tcMar>
              <w:top w:w="0" w:type="dxa"/>
              <w:bottom w:w="0" w:type="dxa"/>
            </w:tcMar>
            <w:vAlign w:val="center"/>
          </w:tcPr>
          <w:p w14:paraId="2E5EB616" w14:textId="77777777" w:rsidR="00C524F6" w:rsidRDefault="00000000">
            <w:pPr>
              <w:keepNext/>
              <w:keepLines/>
              <w:spacing w:after="0" w:line="240" w:lineRule="auto"/>
            </w:pPr>
            <w:r>
              <w:rPr>
                <w:sz w:val="18"/>
              </w:rPr>
              <w:t>5</w:t>
            </w:r>
          </w:p>
        </w:tc>
        <w:tc>
          <w:tcPr>
            <w:tcW w:w="3180" w:type="dxa"/>
            <w:tcMar>
              <w:top w:w="0" w:type="dxa"/>
              <w:bottom w:w="0" w:type="dxa"/>
            </w:tcMar>
            <w:vAlign w:val="center"/>
          </w:tcPr>
          <w:p w14:paraId="027C2C58" w14:textId="77777777" w:rsidR="00C524F6"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0BDEC97" w14:textId="77777777" w:rsidR="00C524F6" w:rsidRDefault="00000000">
            <w:pPr>
              <w:keepNext/>
              <w:keepLines/>
              <w:spacing w:after="0" w:line="240" w:lineRule="auto"/>
            </w:pPr>
            <w:r>
              <w:rPr>
                <w:sz w:val="18"/>
              </w:rPr>
              <w:t>5</w:t>
            </w:r>
          </w:p>
        </w:tc>
        <w:tc>
          <w:tcPr>
            <w:tcW w:w="1860" w:type="dxa"/>
            <w:tcMar>
              <w:top w:w="0" w:type="dxa"/>
              <w:bottom w:w="0" w:type="dxa"/>
            </w:tcMar>
            <w:vAlign w:val="center"/>
          </w:tcPr>
          <w:p w14:paraId="412A6364" w14:textId="77777777" w:rsidR="00C524F6" w:rsidRDefault="00000000">
            <w:pPr>
              <w:keepNext/>
              <w:keepLines/>
              <w:spacing w:after="0" w:line="240" w:lineRule="auto"/>
              <w:jc w:val="right"/>
            </w:pPr>
            <w:r>
              <w:rPr>
                <w:sz w:val="18"/>
              </w:rPr>
              <w:t>0,00</w:t>
            </w:r>
          </w:p>
        </w:tc>
        <w:tc>
          <w:tcPr>
            <w:tcW w:w="1860" w:type="dxa"/>
            <w:tcMar>
              <w:top w:w="0" w:type="dxa"/>
              <w:bottom w:w="0" w:type="dxa"/>
            </w:tcMar>
            <w:vAlign w:val="center"/>
          </w:tcPr>
          <w:p w14:paraId="1233D650" w14:textId="77777777" w:rsidR="00C524F6" w:rsidRDefault="00000000">
            <w:pPr>
              <w:keepNext/>
              <w:keepLines/>
              <w:spacing w:after="0" w:line="240" w:lineRule="auto"/>
              <w:jc w:val="right"/>
            </w:pPr>
            <w:r>
              <w:rPr>
                <w:sz w:val="18"/>
              </w:rPr>
              <w:t>0,00</w:t>
            </w:r>
          </w:p>
        </w:tc>
        <w:tc>
          <w:tcPr>
            <w:tcW w:w="700" w:type="dxa"/>
            <w:tcMar>
              <w:top w:w="0" w:type="dxa"/>
              <w:bottom w:w="0" w:type="dxa"/>
            </w:tcMar>
            <w:vAlign w:val="center"/>
          </w:tcPr>
          <w:p w14:paraId="69B16C83" w14:textId="77777777" w:rsidR="00C524F6" w:rsidRDefault="00000000">
            <w:pPr>
              <w:keepNext/>
              <w:keepLines/>
              <w:spacing w:after="0" w:line="240" w:lineRule="auto"/>
              <w:jc w:val="right"/>
            </w:pPr>
            <w:r>
              <w:rPr>
                <w:sz w:val="18"/>
              </w:rPr>
              <w:t>-</w:t>
            </w:r>
          </w:p>
        </w:tc>
      </w:tr>
      <w:tr w:rsidR="00C524F6" w14:paraId="2E137CAC" w14:textId="77777777">
        <w:trPr>
          <w:cantSplit/>
          <w:trHeight w:val="560"/>
        </w:trPr>
        <w:tc>
          <w:tcPr>
            <w:tcW w:w="700" w:type="dxa"/>
            <w:tcMar>
              <w:top w:w="0" w:type="dxa"/>
              <w:bottom w:w="0" w:type="dxa"/>
            </w:tcMar>
            <w:vAlign w:val="center"/>
          </w:tcPr>
          <w:p w14:paraId="5A490E2D" w14:textId="77777777" w:rsidR="00C524F6" w:rsidRDefault="00C524F6">
            <w:pPr>
              <w:keepNext/>
              <w:keepLines/>
              <w:spacing w:after="0" w:line="240" w:lineRule="auto"/>
            </w:pPr>
          </w:p>
        </w:tc>
        <w:tc>
          <w:tcPr>
            <w:tcW w:w="3180" w:type="dxa"/>
            <w:tcMar>
              <w:top w:w="0" w:type="dxa"/>
              <w:bottom w:w="0" w:type="dxa"/>
            </w:tcMar>
            <w:vAlign w:val="center"/>
          </w:tcPr>
          <w:p w14:paraId="3FB1BED2" w14:textId="77777777" w:rsidR="00C524F6"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0F25C67" w14:textId="77777777" w:rsidR="00C524F6" w:rsidRDefault="00000000">
            <w:pPr>
              <w:keepNext/>
              <w:keepLines/>
              <w:spacing w:after="0" w:line="240" w:lineRule="auto"/>
            </w:pPr>
            <w:r>
              <w:rPr>
                <w:b/>
                <w:sz w:val="18"/>
              </w:rPr>
              <w:t>X003, Y003</w:t>
            </w:r>
          </w:p>
        </w:tc>
        <w:tc>
          <w:tcPr>
            <w:tcW w:w="1860" w:type="dxa"/>
            <w:tcMar>
              <w:top w:w="0" w:type="dxa"/>
              <w:bottom w:w="0" w:type="dxa"/>
            </w:tcMar>
            <w:vAlign w:val="center"/>
          </w:tcPr>
          <w:p w14:paraId="0CCF944B" w14:textId="77777777" w:rsidR="00C524F6" w:rsidRDefault="00000000">
            <w:pPr>
              <w:keepNext/>
              <w:keepLines/>
              <w:spacing w:after="0" w:line="240" w:lineRule="auto"/>
              <w:jc w:val="right"/>
            </w:pPr>
            <w:r>
              <w:rPr>
                <w:b/>
                <w:sz w:val="18"/>
              </w:rPr>
              <w:t>0,00</w:t>
            </w:r>
          </w:p>
        </w:tc>
        <w:tc>
          <w:tcPr>
            <w:tcW w:w="1860" w:type="dxa"/>
            <w:tcMar>
              <w:top w:w="0" w:type="dxa"/>
              <w:bottom w:w="0" w:type="dxa"/>
            </w:tcMar>
            <w:vAlign w:val="center"/>
          </w:tcPr>
          <w:p w14:paraId="1278AF8E" w14:textId="77777777" w:rsidR="00C524F6" w:rsidRDefault="00000000">
            <w:pPr>
              <w:keepNext/>
              <w:keepLines/>
              <w:spacing w:after="0" w:line="240" w:lineRule="auto"/>
              <w:jc w:val="right"/>
            </w:pPr>
            <w:r>
              <w:rPr>
                <w:b/>
                <w:sz w:val="18"/>
              </w:rPr>
              <w:t>0,00</w:t>
            </w:r>
          </w:p>
        </w:tc>
        <w:tc>
          <w:tcPr>
            <w:tcW w:w="700" w:type="dxa"/>
            <w:tcMar>
              <w:top w:w="0" w:type="dxa"/>
              <w:bottom w:w="0" w:type="dxa"/>
            </w:tcMar>
            <w:vAlign w:val="center"/>
          </w:tcPr>
          <w:p w14:paraId="3AF397CE" w14:textId="77777777" w:rsidR="00C524F6" w:rsidRDefault="00000000">
            <w:pPr>
              <w:keepNext/>
              <w:keepLines/>
              <w:spacing w:after="0" w:line="240" w:lineRule="auto"/>
              <w:jc w:val="right"/>
            </w:pPr>
            <w:r>
              <w:rPr>
                <w:b/>
                <w:sz w:val="18"/>
              </w:rPr>
              <w:t>-</w:t>
            </w:r>
          </w:p>
        </w:tc>
      </w:tr>
      <w:tr w:rsidR="00C524F6" w14:paraId="33D14E35" w14:textId="77777777">
        <w:trPr>
          <w:cantSplit/>
          <w:trHeight w:val="560"/>
        </w:trPr>
        <w:tc>
          <w:tcPr>
            <w:tcW w:w="700" w:type="dxa"/>
            <w:tcMar>
              <w:top w:w="0" w:type="dxa"/>
              <w:bottom w:w="0" w:type="dxa"/>
            </w:tcMar>
            <w:vAlign w:val="center"/>
          </w:tcPr>
          <w:p w14:paraId="3CA2AD39" w14:textId="77777777" w:rsidR="00C524F6" w:rsidRDefault="00C524F6">
            <w:pPr>
              <w:keepNext/>
              <w:keepLines/>
              <w:spacing w:after="0" w:line="240" w:lineRule="auto"/>
            </w:pPr>
          </w:p>
        </w:tc>
        <w:tc>
          <w:tcPr>
            <w:tcW w:w="3180" w:type="dxa"/>
            <w:tcMar>
              <w:top w:w="0" w:type="dxa"/>
              <w:bottom w:w="0" w:type="dxa"/>
            </w:tcMar>
            <w:vAlign w:val="center"/>
          </w:tcPr>
          <w:p w14:paraId="47DC3C46" w14:textId="77777777" w:rsidR="00C524F6"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670117BA" w14:textId="77777777" w:rsidR="00C524F6" w:rsidRDefault="00000000">
            <w:pPr>
              <w:keepNext/>
              <w:keepLines/>
              <w:spacing w:after="0" w:line="240" w:lineRule="auto"/>
            </w:pPr>
            <w:r>
              <w:rPr>
                <w:b/>
                <w:sz w:val="18"/>
              </w:rPr>
              <w:t>Y005</w:t>
            </w:r>
          </w:p>
        </w:tc>
        <w:tc>
          <w:tcPr>
            <w:tcW w:w="1860" w:type="dxa"/>
            <w:tcMar>
              <w:top w:w="0" w:type="dxa"/>
              <w:bottom w:w="0" w:type="dxa"/>
            </w:tcMar>
            <w:vAlign w:val="center"/>
          </w:tcPr>
          <w:p w14:paraId="2FF833A8" w14:textId="77777777" w:rsidR="00C524F6" w:rsidRDefault="00000000">
            <w:pPr>
              <w:keepNext/>
              <w:keepLines/>
              <w:spacing w:after="0" w:line="240" w:lineRule="auto"/>
              <w:jc w:val="right"/>
            </w:pPr>
            <w:r>
              <w:rPr>
                <w:b/>
                <w:sz w:val="18"/>
              </w:rPr>
              <w:t>0,00</w:t>
            </w:r>
          </w:p>
        </w:tc>
        <w:tc>
          <w:tcPr>
            <w:tcW w:w="1860" w:type="dxa"/>
            <w:tcMar>
              <w:top w:w="0" w:type="dxa"/>
              <w:bottom w:w="0" w:type="dxa"/>
            </w:tcMar>
            <w:vAlign w:val="center"/>
          </w:tcPr>
          <w:p w14:paraId="5FE27BE3" w14:textId="77777777" w:rsidR="00C524F6" w:rsidRDefault="00000000">
            <w:pPr>
              <w:keepNext/>
              <w:keepLines/>
              <w:spacing w:after="0" w:line="240" w:lineRule="auto"/>
              <w:jc w:val="right"/>
            </w:pPr>
            <w:r>
              <w:rPr>
                <w:b/>
                <w:sz w:val="18"/>
              </w:rPr>
              <w:t>81.503,97</w:t>
            </w:r>
          </w:p>
        </w:tc>
        <w:tc>
          <w:tcPr>
            <w:tcW w:w="700" w:type="dxa"/>
            <w:tcMar>
              <w:top w:w="0" w:type="dxa"/>
              <w:bottom w:w="0" w:type="dxa"/>
            </w:tcMar>
            <w:vAlign w:val="center"/>
          </w:tcPr>
          <w:p w14:paraId="0EB794BA" w14:textId="77777777" w:rsidR="00C524F6" w:rsidRDefault="00000000">
            <w:pPr>
              <w:keepNext/>
              <w:keepLines/>
              <w:spacing w:after="0" w:line="240" w:lineRule="auto"/>
              <w:jc w:val="right"/>
            </w:pPr>
            <w:r>
              <w:rPr>
                <w:b/>
                <w:sz w:val="18"/>
              </w:rPr>
              <w:t>-</w:t>
            </w:r>
          </w:p>
        </w:tc>
      </w:tr>
    </w:tbl>
    <w:p w14:paraId="7FB2084A" w14:textId="77777777" w:rsidR="00C524F6" w:rsidRDefault="00C524F6">
      <w:pPr>
        <w:spacing w:after="0"/>
      </w:pPr>
    </w:p>
    <w:p w14:paraId="6BF4F232" w14:textId="77777777" w:rsidR="00C524F6" w:rsidRDefault="00000000">
      <w:pPr>
        <w:jc w:val="both"/>
      </w:pPr>
      <w:r>
        <w:t>Ukupni prihodi i primici  iznose 960.457,52 eura,  dok ukupni rashodi i izdaci iznose 1.041.961,49 eura. U odnosu na razdoblje prethodne godine vidljivo je povećanje i prihoda i rashoda do koje je došlo zbog dogradnje Dječjeg vrtića Škrinjica i proširenja kapaciteta za dvije odgojno obrazovne skupine.</w:t>
      </w:r>
    </w:p>
    <w:p w14:paraId="2EFC56FC" w14:textId="77777777" w:rsidR="00C524F6" w:rsidRDefault="00000000">
      <w:pPr>
        <w:jc w:val="both"/>
      </w:pPr>
      <w:r>
        <w:t xml:space="preserve">Razlika između ukupnih prihoda i primitaka te rashoda i izdataka daje manjak u iznosu od 81.503,97 eura. Važno je napomenuti da je iznos od 75.637,94 eura metodološki manjak i </w:t>
      </w:r>
      <w:r>
        <w:lastRenderedPageBreak/>
        <w:t>odnosi se na plaću za 12. mjesec 2025. godine, te je nastao uslijed ukidanja kontinuiranih rashoda poslovanja (podskupina 193).</w:t>
      </w:r>
    </w:p>
    <w:p w14:paraId="21A1CDE7" w14:textId="77777777" w:rsidR="00C524F6" w:rsidRDefault="00000000">
      <w:pPr>
        <w:jc w:val="both"/>
      </w:pPr>
      <w:r>
        <w:t>Na dan 31.12.2025. godine s uključenim manjkom iz prethodnih godina u iznosu od 9.248,72 eura ukupni manjak iznosi 90.752,69 eura.</w:t>
      </w:r>
    </w:p>
    <w:p w14:paraId="5764CDEA" w14:textId="77777777" w:rsidR="00C524F6" w:rsidRDefault="00000000">
      <w:r>
        <w:br/>
      </w:r>
    </w:p>
    <w:p w14:paraId="513C7049" w14:textId="77777777" w:rsidR="00C524F6"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524F6" w14:paraId="06F716DA" w14:textId="77777777">
        <w:trPr>
          <w:cantSplit/>
        </w:trPr>
        <w:tc>
          <w:tcPr>
            <w:tcW w:w="700" w:type="dxa"/>
            <w:shd w:val="clear" w:color="auto" w:fill="E7F0F9"/>
            <w:tcMar>
              <w:top w:w="0" w:type="dxa"/>
              <w:bottom w:w="0" w:type="dxa"/>
            </w:tcMar>
            <w:vAlign w:val="center"/>
          </w:tcPr>
          <w:p w14:paraId="16AC780A" w14:textId="77777777" w:rsidR="00C524F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85D11A" w14:textId="77777777" w:rsidR="00C524F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B3B880" w14:textId="77777777" w:rsidR="00C524F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B9C943" w14:textId="77777777" w:rsidR="00C524F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6AE31C" w14:textId="77777777" w:rsidR="00C524F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9785DC" w14:textId="77777777" w:rsidR="00C524F6" w:rsidRDefault="00000000">
            <w:pPr>
              <w:keepNext/>
              <w:keepLines/>
              <w:spacing w:after="0" w:line="240" w:lineRule="auto"/>
              <w:jc w:val="center"/>
            </w:pPr>
            <w:r>
              <w:rPr>
                <w:b/>
                <w:sz w:val="18"/>
              </w:rPr>
              <w:t>Indeks (%)</w:t>
            </w:r>
          </w:p>
        </w:tc>
      </w:tr>
      <w:tr w:rsidR="00C524F6" w14:paraId="6C24CA22" w14:textId="77777777">
        <w:trPr>
          <w:cantSplit/>
          <w:trHeight w:val="560"/>
        </w:trPr>
        <w:tc>
          <w:tcPr>
            <w:tcW w:w="700" w:type="dxa"/>
            <w:tcMar>
              <w:top w:w="0" w:type="dxa"/>
              <w:bottom w:w="0" w:type="dxa"/>
            </w:tcMar>
            <w:vAlign w:val="center"/>
          </w:tcPr>
          <w:p w14:paraId="50345913" w14:textId="77777777" w:rsidR="00C524F6" w:rsidRDefault="00000000">
            <w:pPr>
              <w:keepNext/>
              <w:keepLines/>
              <w:spacing w:after="0" w:line="240" w:lineRule="auto"/>
            </w:pPr>
            <w:r>
              <w:rPr>
                <w:sz w:val="18"/>
              </w:rPr>
              <w:t>63</w:t>
            </w:r>
          </w:p>
        </w:tc>
        <w:tc>
          <w:tcPr>
            <w:tcW w:w="3180" w:type="dxa"/>
            <w:tcMar>
              <w:top w:w="0" w:type="dxa"/>
              <w:bottom w:w="0" w:type="dxa"/>
            </w:tcMar>
            <w:vAlign w:val="center"/>
          </w:tcPr>
          <w:p w14:paraId="034A0A5E" w14:textId="77777777" w:rsidR="00C524F6"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4A7C712B" w14:textId="77777777" w:rsidR="00C524F6" w:rsidRDefault="00000000">
            <w:pPr>
              <w:keepNext/>
              <w:keepLines/>
              <w:spacing w:after="0" w:line="240" w:lineRule="auto"/>
            </w:pPr>
            <w:r>
              <w:rPr>
                <w:sz w:val="18"/>
              </w:rPr>
              <w:t>63</w:t>
            </w:r>
          </w:p>
        </w:tc>
        <w:tc>
          <w:tcPr>
            <w:tcW w:w="1860" w:type="dxa"/>
            <w:tcMar>
              <w:top w:w="0" w:type="dxa"/>
              <w:bottom w:w="0" w:type="dxa"/>
            </w:tcMar>
            <w:vAlign w:val="center"/>
          </w:tcPr>
          <w:p w14:paraId="230E613B" w14:textId="77777777" w:rsidR="00C524F6" w:rsidRDefault="00000000">
            <w:pPr>
              <w:keepNext/>
              <w:keepLines/>
              <w:spacing w:after="0" w:line="240" w:lineRule="auto"/>
              <w:jc w:val="right"/>
            </w:pPr>
            <w:r>
              <w:rPr>
                <w:sz w:val="18"/>
              </w:rPr>
              <w:t>1.366,40</w:t>
            </w:r>
          </w:p>
        </w:tc>
        <w:tc>
          <w:tcPr>
            <w:tcW w:w="1860" w:type="dxa"/>
            <w:tcMar>
              <w:top w:w="0" w:type="dxa"/>
              <w:bottom w:w="0" w:type="dxa"/>
            </w:tcMar>
            <w:vAlign w:val="center"/>
          </w:tcPr>
          <w:p w14:paraId="79B4E068" w14:textId="77777777" w:rsidR="00C524F6" w:rsidRDefault="00000000">
            <w:pPr>
              <w:keepNext/>
              <w:keepLines/>
              <w:spacing w:after="0" w:line="240" w:lineRule="auto"/>
              <w:jc w:val="right"/>
            </w:pPr>
            <w:r>
              <w:rPr>
                <w:sz w:val="18"/>
              </w:rPr>
              <w:t>2.834,20</w:t>
            </w:r>
          </w:p>
        </w:tc>
        <w:tc>
          <w:tcPr>
            <w:tcW w:w="700" w:type="dxa"/>
            <w:tcMar>
              <w:top w:w="0" w:type="dxa"/>
              <w:bottom w:w="0" w:type="dxa"/>
            </w:tcMar>
            <w:vAlign w:val="center"/>
          </w:tcPr>
          <w:p w14:paraId="2B11FD07" w14:textId="77777777" w:rsidR="00C524F6" w:rsidRDefault="00000000">
            <w:pPr>
              <w:keepNext/>
              <w:keepLines/>
              <w:spacing w:after="0" w:line="240" w:lineRule="auto"/>
              <w:jc w:val="right"/>
            </w:pPr>
            <w:r>
              <w:rPr>
                <w:sz w:val="18"/>
              </w:rPr>
              <w:t>207,4</w:t>
            </w:r>
          </w:p>
        </w:tc>
      </w:tr>
    </w:tbl>
    <w:p w14:paraId="5A6B7D53" w14:textId="77777777" w:rsidR="00C524F6" w:rsidRDefault="00C524F6">
      <w:pPr>
        <w:spacing w:after="0"/>
      </w:pPr>
    </w:p>
    <w:p w14:paraId="68B3C678" w14:textId="77777777" w:rsidR="00C524F6" w:rsidRDefault="00000000">
      <w:pPr>
        <w:jc w:val="both"/>
      </w:pPr>
      <w:r>
        <w:t>Ostvarene su u iznosu od  2.834,20 eura, odnosno 207,4 % u odnosu na navedeno razdoblje prethodne godine, a odnose se na prihode iz državnog proračuna koji su dodijeljeni na temelju Odluke o sufinanciranju programa javnih potreba u području predškolskog odgoja i obrazovanja. S obzirom da se svake godine dodjeljuju sredstava na temelju Odluke, iznos novčanih sredstava svake godine je drugačiji jer ovisi o broju djece polaznika programa. </w:t>
      </w:r>
    </w:p>
    <w:p w14:paraId="53D1EA52" w14:textId="77777777" w:rsidR="00C524F6" w:rsidRDefault="00C524F6"/>
    <w:p w14:paraId="371727E0" w14:textId="77777777" w:rsidR="00C524F6"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524F6" w14:paraId="570FA032" w14:textId="77777777">
        <w:trPr>
          <w:cantSplit/>
        </w:trPr>
        <w:tc>
          <w:tcPr>
            <w:tcW w:w="700" w:type="dxa"/>
            <w:shd w:val="clear" w:color="auto" w:fill="E7F0F9"/>
            <w:tcMar>
              <w:top w:w="0" w:type="dxa"/>
              <w:bottom w:w="0" w:type="dxa"/>
            </w:tcMar>
            <w:vAlign w:val="center"/>
          </w:tcPr>
          <w:p w14:paraId="0E619F49" w14:textId="77777777" w:rsidR="00C524F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285E01" w14:textId="77777777" w:rsidR="00C524F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AB25D3" w14:textId="77777777" w:rsidR="00C524F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D70B35" w14:textId="77777777" w:rsidR="00C524F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D5DE53" w14:textId="77777777" w:rsidR="00C524F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BEE97A" w14:textId="77777777" w:rsidR="00C524F6" w:rsidRDefault="00000000">
            <w:pPr>
              <w:keepNext/>
              <w:keepLines/>
              <w:spacing w:after="0" w:line="240" w:lineRule="auto"/>
              <w:jc w:val="center"/>
            </w:pPr>
            <w:r>
              <w:rPr>
                <w:b/>
                <w:sz w:val="18"/>
              </w:rPr>
              <w:t>Indeks (%)</w:t>
            </w:r>
          </w:p>
        </w:tc>
      </w:tr>
      <w:tr w:rsidR="00C524F6" w14:paraId="0A59EAC2" w14:textId="77777777">
        <w:trPr>
          <w:cantSplit/>
          <w:trHeight w:val="560"/>
        </w:trPr>
        <w:tc>
          <w:tcPr>
            <w:tcW w:w="700" w:type="dxa"/>
            <w:tcMar>
              <w:top w:w="0" w:type="dxa"/>
              <w:bottom w:w="0" w:type="dxa"/>
            </w:tcMar>
            <w:vAlign w:val="center"/>
          </w:tcPr>
          <w:p w14:paraId="0D8184D2" w14:textId="77777777" w:rsidR="00C524F6" w:rsidRDefault="00000000">
            <w:pPr>
              <w:keepNext/>
              <w:keepLines/>
              <w:spacing w:after="0" w:line="240" w:lineRule="auto"/>
            </w:pPr>
            <w:r>
              <w:rPr>
                <w:sz w:val="18"/>
              </w:rPr>
              <w:t>65</w:t>
            </w:r>
          </w:p>
        </w:tc>
        <w:tc>
          <w:tcPr>
            <w:tcW w:w="3180" w:type="dxa"/>
            <w:tcMar>
              <w:top w:w="0" w:type="dxa"/>
              <w:bottom w:w="0" w:type="dxa"/>
            </w:tcMar>
            <w:vAlign w:val="center"/>
          </w:tcPr>
          <w:p w14:paraId="3CD119EC" w14:textId="77777777" w:rsidR="00C524F6"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3CDC3DF7" w14:textId="77777777" w:rsidR="00C524F6" w:rsidRDefault="00000000">
            <w:pPr>
              <w:keepNext/>
              <w:keepLines/>
              <w:spacing w:after="0" w:line="240" w:lineRule="auto"/>
            </w:pPr>
            <w:r>
              <w:rPr>
                <w:sz w:val="18"/>
              </w:rPr>
              <w:t>65</w:t>
            </w:r>
          </w:p>
        </w:tc>
        <w:tc>
          <w:tcPr>
            <w:tcW w:w="1860" w:type="dxa"/>
            <w:tcMar>
              <w:top w:w="0" w:type="dxa"/>
              <w:bottom w:w="0" w:type="dxa"/>
            </w:tcMar>
            <w:vAlign w:val="center"/>
          </w:tcPr>
          <w:p w14:paraId="6841EE4A" w14:textId="77777777" w:rsidR="00C524F6" w:rsidRDefault="00000000">
            <w:pPr>
              <w:keepNext/>
              <w:keepLines/>
              <w:spacing w:after="0" w:line="240" w:lineRule="auto"/>
              <w:jc w:val="right"/>
            </w:pPr>
            <w:r>
              <w:rPr>
                <w:sz w:val="18"/>
              </w:rPr>
              <w:t>182.809,73</w:t>
            </w:r>
          </w:p>
        </w:tc>
        <w:tc>
          <w:tcPr>
            <w:tcW w:w="1860" w:type="dxa"/>
            <w:tcMar>
              <w:top w:w="0" w:type="dxa"/>
              <w:bottom w:w="0" w:type="dxa"/>
            </w:tcMar>
            <w:vAlign w:val="center"/>
          </w:tcPr>
          <w:p w14:paraId="445F8A9D" w14:textId="77777777" w:rsidR="00C524F6" w:rsidRDefault="00000000">
            <w:pPr>
              <w:keepNext/>
              <w:keepLines/>
              <w:spacing w:after="0" w:line="240" w:lineRule="auto"/>
              <w:jc w:val="right"/>
            </w:pPr>
            <w:r>
              <w:rPr>
                <w:sz w:val="18"/>
              </w:rPr>
              <w:t>231.266,57</w:t>
            </w:r>
          </w:p>
        </w:tc>
        <w:tc>
          <w:tcPr>
            <w:tcW w:w="700" w:type="dxa"/>
            <w:tcMar>
              <w:top w:w="0" w:type="dxa"/>
              <w:bottom w:w="0" w:type="dxa"/>
            </w:tcMar>
            <w:vAlign w:val="center"/>
          </w:tcPr>
          <w:p w14:paraId="20557AEF" w14:textId="77777777" w:rsidR="00C524F6" w:rsidRDefault="00000000">
            <w:pPr>
              <w:keepNext/>
              <w:keepLines/>
              <w:spacing w:after="0" w:line="240" w:lineRule="auto"/>
              <w:jc w:val="right"/>
            </w:pPr>
            <w:r>
              <w:rPr>
                <w:sz w:val="18"/>
              </w:rPr>
              <w:t>126,5</w:t>
            </w:r>
          </w:p>
        </w:tc>
      </w:tr>
    </w:tbl>
    <w:p w14:paraId="368FD657" w14:textId="77777777" w:rsidR="00C524F6" w:rsidRDefault="00C524F6">
      <w:pPr>
        <w:spacing w:after="0"/>
      </w:pPr>
    </w:p>
    <w:p w14:paraId="471E947B" w14:textId="77777777" w:rsidR="00C524F6" w:rsidRDefault="00000000">
      <w:pPr>
        <w:jc w:val="both"/>
      </w:pPr>
      <w:r>
        <w:t>Ostvareni su u iznosu od 231.266,57 eura, odnosno 126,5 % u odnosu na navedeno razdoblje prethodne godine, a odnose se na prihode od sufinanciranja cijene usluge, participacije i slično roditelja/skrbnika korisnika Dječjeg vrtića i drugih općina i gradova. Prihodi se ostvaruju temeljem naplate izdanih uplatnica (za roditelje/skrbnike). U odnosno na navedeno razdoblje prethodne godine vidljivo je povećanje zbog upisanog većeg broja djece u mjesecu prosincu 2024. godine (dogradnja Dječjeg vrtića i proširenje za dvije odgojno obrazovne skupine).</w:t>
      </w:r>
    </w:p>
    <w:p w14:paraId="7B331A75" w14:textId="77777777" w:rsidR="00C524F6" w:rsidRDefault="00C524F6"/>
    <w:p w14:paraId="728AEA4B" w14:textId="77777777" w:rsidR="00C524F6"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524F6" w14:paraId="7A7B37C2" w14:textId="77777777">
        <w:trPr>
          <w:cantSplit/>
        </w:trPr>
        <w:tc>
          <w:tcPr>
            <w:tcW w:w="700" w:type="dxa"/>
            <w:shd w:val="clear" w:color="auto" w:fill="E7F0F9"/>
            <w:tcMar>
              <w:top w:w="0" w:type="dxa"/>
              <w:bottom w:w="0" w:type="dxa"/>
            </w:tcMar>
            <w:vAlign w:val="center"/>
          </w:tcPr>
          <w:p w14:paraId="564B3FBF" w14:textId="77777777" w:rsidR="00C524F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D97002" w14:textId="77777777" w:rsidR="00C524F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AACC99" w14:textId="77777777" w:rsidR="00C524F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77FB8B" w14:textId="77777777" w:rsidR="00C524F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FA0E56" w14:textId="77777777" w:rsidR="00C524F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04E968" w14:textId="77777777" w:rsidR="00C524F6" w:rsidRDefault="00000000">
            <w:pPr>
              <w:keepNext/>
              <w:keepLines/>
              <w:spacing w:after="0" w:line="240" w:lineRule="auto"/>
              <w:jc w:val="center"/>
            </w:pPr>
            <w:r>
              <w:rPr>
                <w:b/>
                <w:sz w:val="18"/>
              </w:rPr>
              <w:t>Indeks (%)</w:t>
            </w:r>
          </w:p>
        </w:tc>
      </w:tr>
      <w:tr w:rsidR="00C524F6" w14:paraId="7404164A" w14:textId="77777777">
        <w:trPr>
          <w:cantSplit/>
          <w:trHeight w:val="560"/>
        </w:trPr>
        <w:tc>
          <w:tcPr>
            <w:tcW w:w="700" w:type="dxa"/>
            <w:tcMar>
              <w:top w:w="0" w:type="dxa"/>
              <w:bottom w:w="0" w:type="dxa"/>
            </w:tcMar>
            <w:vAlign w:val="center"/>
          </w:tcPr>
          <w:p w14:paraId="64170CC7" w14:textId="77777777" w:rsidR="00C524F6" w:rsidRDefault="00000000">
            <w:pPr>
              <w:keepNext/>
              <w:keepLines/>
              <w:spacing w:after="0" w:line="240" w:lineRule="auto"/>
            </w:pPr>
            <w:r>
              <w:rPr>
                <w:sz w:val="18"/>
              </w:rPr>
              <w:t>66</w:t>
            </w:r>
          </w:p>
        </w:tc>
        <w:tc>
          <w:tcPr>
            <w:tcW w:w="3180" w:type="dxa"/>
            <w:tcMar>
              <w:top w:w="0" w:type="dxa"/>
              <w:bottom w:w="0" w:type="dxa"/>
            </w:tcMar>
            <w:vAlign w:val="center"/>
          </w:tcPr>
          <w:p w14:paraId="63521F82" w14:textId="77777777" w:rsidR="00C524F6"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608FA9AC" w14:textId="77777777" w:rsidR="00C524F6" w:rsidRDefault="00000000">
            <w:pPr>
              <w:keepNext/>
              <w:keepLines/>
              <w:spacing w:after="0" w:line="240" w:lineRule="auto"/>
            </w:pPr>
            <w:r>
              <w:rPr>
                <w:sz w:val="18"/>
              </w:rPr>
              <w:t>66</w:t>
            </w:r>
          </w:p>
        </w:tc>
        <w:tc>
          <w:tcPr>
            <w:tcW w:w="1860" w:type="dxa"/>
            <w:tcMar>
              <w:top w:w="0" w:type="dxa"/>
              <w:bottom w:w="0" w:type="dxa"/>
            </w:tcMar>
            <w:vAlign w:val="center"/>
          </w:tcPr>
          <w:p w14:paraId="026D1776" w14:textId="77777777" w:rsidR="00C524F6" w:rsidRDefault="00000000">
            <w:pPr>
              <w:keepNext/>
              <w:keepLines/>
              <w:spacing w:after="0" w:line="240" w:lineRule="auto"/>
              <w:jc w:val="right"/>
            </w:pPr>
            <w:r>
              <w:rPr>
                <w:sz w:val="18"/>
              </w:rPr>
              <w:t>1.331,54</w:t>
            </w:r>
          </w:p>
        </w:tc>
        <w:tc>
          <w:tcPr>
            <w:tcW w:w="1860" w:type="dxa"/>
            <w:tcMar>
              <w:top w:w="0" w:type="dxa"/>
              <w:bottom w:w="0" w:type="dxa"/>
            </w:tcMar>
            <w:vAlign w:val="center"/>
          </w:tcPr>
          <w:p w14:paraId="2E29B387" w14:textId="77777777" w:rsidR="00C524F6" w:rsidRDefault="00000000">
            <w:pPr>
              <w:keepNext/>
              <w:keepLines/>
              <w:spacing w:after="0" w:line="240" w:lineRule="auto"/>
              <w:jc w:val="right"/>
            </w:pPr>
            <w:r>
              <w:rPr>
                <w:sz w:val="18"/>
              </w:rPr>
              <w:t>210,00</w:t>
            </w:r>
          </w:p>
        </w:tc>
        <w:tc>
          <w:tcPr>
            <w:tcW w:w="700" w:type="dxa"/>
            <w:tcMar>
              <w:top w:w="0" w:type="dxa"/>
              <w:bottom w:w="0" w:type="dxa"/>
            </w:tcMar>
            <w:vAlign w:val="center"/>
          </w:tcPr>
          <w:p w14:paraId="10D91B96" w14:textId="77777777" w:rsidR="00C524F6" w:rsidRDefault="00000000">
            <w:pPr>
              <w:keepNext/>
              <w:keepLines/>
              <w:spacing w:after="0" w:line="240" w:lineRule="auto"/>
              <w:jc w:val="right"/>
            </w:pPr>
            <w:r>
              <w:rPr>
                <w:sz w:val="18"/>
              </w:rPr>
              <w:t>15,8</w:t>
            </w:r>
          </w:p>
        </w:tc>
      </w:tr>
    </w:tbl>
    <w:p w14:paraId="5BD81C0D" w14:textId="77777777" w:rsidR="00C524F6" w:rsidRDefault="00C524F6">
      <w:pPr>
        <w:spacing w:after="0"/>
      </w:pPr>
    </w:p>
    <w:p w14:paraId="0CB912A4" w14:textId="77777777" w:rsidR="00C524F6" w:rsidRDefault="00000000">
      <w:pPr>
        <w:jc w:val="both"/>
      </w:pPr>
      <w:r>
        <w:lastRenderedPageBreak/>
        <w:t>Prihodi od prodaje proizvoda i robe te pruženih usluga, prihodi od donacija te povrati po protestiranim jamstvima ostvareni su u iznosu od 210,00 eura, odnosno 15,8% u odnosu na razdoblje prethodne godine. Odonose se na donacije.</w:t>
      </w:r>
    </w:p>
    <w:p w14:paraId="330CD0FB" w14:textId="77777777" w:rsidR="00C524F6" w:rsidRDefault="00C524F6"/>
    <w:p w14:paraId="0DB9F7E4" w14:textId="77777777" w:rsidR="00C524F6"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524F6" w14:paraId="20FF286F" w14:textId="77777777">
        <w:trPr>
          <w:cantSplit/>
        </w:trPr>
        <w:tc>
          <w:tcPr>
            <w:tcW w:w="700" w:type="dxa"/>
            <w:shd w:val="clear" w:color="auto" w:fill="E7F0F9"/>
            <w:tcMar>
              <w:top w:w="0" w:type="dxa"/>
              <w:bottom w:w="0" w:type="dxa"/>
            </w:tcMar>
            <w:vAlign w:val="center"/>
          </w:tcPr>
          <w:p w14:paraId="32679CFA" w14:textId="77777777" w:rsidR="00C524F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FDF0AC" w14:textId="77777777" w:rsidR="00C524F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06C5C2" w14:textId="77777777" w:rsidR="00C524F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DD840F" w14:textId="77777777" w:rsidR="00C524F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201275" w14:textId="77777777" w:rsidR="00C524F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70F8A1" w14:textId="77777777" w:rsidR="00C524F6" w:rsidRDefault="00000000">
            <w:pPr>
              <w:keepNext/>
              <w:keepLines/>
              <w:spacing w:after="0" w:line="240" w:lineRule="auto"/>
              <w:jc w:val="center"/>
            </w:pPr>
            <w:r>
              <w:rPr>
                <w:b/>
                <w:sz w:val="18"/>
              </w:rPr>
              <w:t>Indeks (%)</w:t>
            </w:r>
          </w:p>
        </w:tc>
      </w:tr>
      <w:tr w:rsidR="00C524F6" w14:paraId="5792C7C0" w14:textId="77777777">
        <w:trPr>
          <w:cantSplit/>
          <w:trHeight w:val="560"/>
        </w:trPr>
        <w:tc>
          <w:tcPr>
            <w:tcW w:w="700" w:type="dxa"/>
            <w:tcMar>
              <w:top w:w="0" w:type="dxa"/>
              <w:bottom w:w="0" w:type="dxa"/>
            </w:tcMar>
            <w:vAlign w:val="center"/>
          </w:tcPr>
          <w:p w14:paraId="77BEEC2F" w14:textId="77777777" w:rsidR="00C524F6" w:rsidRDefault="00000000">
            <w:pPr>
              <w:keepNext/>
              <w:keepLines/>
              <w:spacing w:after="0" w:line="240" w:lineRule="auto"/>
            </w:pPr>
            <w:r>
              <w:rPr>
                <w:sz w:val="18"/>
              </w:rPr>
              <w:t>67</w:t>
            </w:r>
          </w:p>
        </w:tc>
        <w:tc>
          <w:tcPr>
            <w:tcW w:w="3180" w:type="dxa"/>
            <w:tcMar>
              <w:top w:w="0" w:type="dxa"/>
              <w:bottom w:w="0" w:type="dxa"/>
            </w:tcMar>
            <w:vAlign w:val="center"/>
          </w:tcPr>
          <w:p w14:paraId="7277BA50" w14:textId="77777777" w:rsidR="00C524F6"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763376FC" w14:textId="77777777" w:rsidR="00C524F6" w:rsidRDefault="00000000">
            <w:pPr>
              <w:keepNext/>
              <w:keepLines/>
              <w:spacing w:after="0" w:line="240" w:lineRule="auto"/>
            </w:pPr>
            <w:r>
              <w:rPr>
                <w:sz w:val="18"/>
              </w:rPr>
              <w:t>67</w:t>
            </w:r>
          </w:p>
        </w:tc>
        <w:tc>
          <w:tcPr>
            <w:tcW w:w="1860" w:type="dxa"/>
            <w:tcMar>
              <w:top w:w="0" w:type="dxa"/>
              <w:bottom w:w="0" w:type="dxa"/>
            </w:tcMar>
            <w:vAlign w:val="center"/>
          </w:tcPr>
          <w:p w14:paraId="2F689F5A" w14:textId="77777777" w:rsidR="00C524F6" w:rsidRDefault="00000000">
            <w:pPr>
              <w:keepNext/>
              <w:keepLines/>
              <w:spacing w:after="0" w:line="240" w:lineRule="auto"/>
              <w:jc w:val="right"/>
            </w:pPr>
            <w:r>
              <w:rPr>
                <w:sz w:val="18"/>
              </w:rPr>
              <w:t>447.537,17</w:t>
            </w:r>
          </w:p>
        </w:tc>
        <w:tc>
          <w:tcPr>
            <w:tcW w:w="1860" w:type="dxa"/>
            <w:tcMar>
              <w:top w:w="0" w:type="dxa"/>
              <w:bottom w:w="0" w:type="dxa"/>
            </w:tcMar>
            <w:vAlign w:val="center"/>
          </w:tcPr>
          <w:p w14:paraId="5BB618A2" w14:textId="77777777" w:rsidR="00C524F6" w:rsidRDefault="00000000">
            <w:pPr>
              <w:keepNext/>
              <w:keepLines/>
              <w:spacing w:after="0" w:line="240" w:lineRule="auto"/>
              <w:jc w:val="right"/>
            </w:pPr>
            <w:r>
              <w:rPr>
                <w:sz w:val="18"/>
              </w:rPr>
              <w:t>726.146,75</w:t>
            </w:r>
          </w:p>
        </w:tc>
        <w:tc>
          <w:tcPr>
            <w:tcW w:w="700" w:type="dxa"/>
            <w:tcMar>
              <w:top w:w="0" w:type="dxa"/>
              <w:bottom w:w="0" w:type="dxa"/>
            </w:tcMar>
            <w:vAlign w:val="center"/>
          </w:tcPr>
          <w:p w14:paraId="73DBEFFE" w14:textId="77777777" w:rsidR="00C524F6" w:rsidRDefault="00000000">
            <w:pPr>
              <w:keepNext/>
              <w:keepLines/>
              <w:spacing w:after="0" w:line="240" w:lineRule="auto"/>
              <w:jc w:val="right"/>
            </w:pPr>
            <w:r>
              <w:rPr>
                <w:sz w:val="18"/>
              </w:rPr>
              <w:t>162,3</w:t>
            </w:r>
          </w:p>
        </w:tc>
      </w:tr>
    </w:tbl>
    <w:p w14:paraId="350600EB" w14:textId="77777777" w:rsidR="00C524F6" w:rsidRDefault="00C524F6">
      <w:pPr>
        <w:spacing w:after="0"/>
      </w:pPr>
    </w:p>
    <w:p w14:paraId="425E0DFD" w14:textId="77777777" w:rsidR="00C524F6" w:rsidRDefault="00000000">
      <w:pPr>
        <w:jc w:val="both"/>
      </w:pPr>
      <w:r>
        <w:t>Ostvareni su u iznosu od 726.146,75 eura, odnosno 162,3 % u odnosu na navedeno razdoblje prethodne godine, a odnose se na prihode iz nadležnog proračuna Općine Vidovec. Vidljivo je povećanje prihoda iz nadležnog proračuna za financiranje redovne djelatnosti  zbog  većeg broja upisane djece ali i zbog povećanja ekonomske cijene vrtića, odnosno većeg sufinanciranja u ekonomskoj cijeni od strane nadležnog proračuna.</w:t>
      </w:r>
    </w:p>
    <w:p w14:paraId="2D4B7BDA" w14:textId="77777777" w:rsidR="00C524F6" w:rsidRDefault="00000000">
      <w:r>
        <w:t> </w:t>
      </w:r>
    </w:p>
    <w:p w14:paraId="43DB24F9" w14:textId="77777777" w:rsidR="00C524F6" w:rsidRDefault="00C524F6"/>
    <w:p w14:paraId="492648F0" w14:textId="77777777" w:rsidR="00C524F6"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524F6" w14:paraId="1BFEA8CC" w14:textId="77777777">
        <w:trPr>
          <w:cantSplit/>
        </w:trPr>
        <w:tc>
          <w:tcPr>
            <w:tcW w:w="700" w:type="dxa"/>
            <w:shd w:val="clear" w:color="auto" w:fill="E7F0F9"/>
            <w:tcMar>
              <w:top w:w="0" w:type="dxa"/>
              <w:bottom w:w="0" w:type="dxa"/>
            </w:tcMar>
            <w:vAlign w:val="center"/>
          </w:tcPr>
          <w:p w14:paraId="5CC8E8EA" w14:textId="77777777" w:rsidR="00C524F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9C4F06" w14:textId="77777777" w:rsidR="00C524F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904FE0" w14:textId="77777777" w:rsidR="00C524F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553524" w14:textId="77777777" w:rsidR="00C524F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E48E13" w14:textId="77777777" w:rsidR="00C524F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2B739A" w14:textId="77777777" w:rsidR="00C524F6" w:rsidRDefault="00000000">
            <w:pPr>
              <w:keepNext/>
              <w:keepLines/>
              <w:spacing w:after="0" w:line="240" w:lineRule="auto"/>
              <w:jc w:val="center"/>
            </w:pPr>
            <w:r>
              <w:rPr>
                <w:b/>
                <w:sz w:val="18"/>
              </w:rPr>
              <w:t>Indeks (%)</w:t>
            </w:r>
          </w:p>
        </w:tc>
      </w:tr>
      <w:tr w:rsidR="00C524F6" w14:paraId="6B52F545" w14:textId="77777777">
        <w:trPr>
          <w:cantSplit/>
          <w:trHeight w:val="560"/>
        </w:trPr>
        <w:tc>
          <w:tcPr>
            <w:tcW w:w="700" w:type="dxa"/>
            <w:tcMar>
              <w:top w:w="0" w:type="dxa"/>
              <w:bottom w:w="0" w:type="dxa"/>
            </w:tcMar>
            <w:vAlign w:val="center"/>
          </w:tcPr>
          <w:p w14:paraId="139E6963" w14:textId="77777777" w:rsidR="00C524F6" w:rsidRDefault="00000000">
            <w:pPr>
              <w:keepNext/>
              <w:keepLines/>
              <w:spacing w:after="0" w:line="240" w:lineRule="auto"/>
            </w:pPr>
            <w:r>
              <w:rPr>
                <w:sz w:val="18"/>
              </w:rPr>
              <w:t>31</w:t>
            </w:r>
          </w:p>
        </w:tc>
        <w:tc>
          <w:tcPr>
            <w:tcW w:w="3180" w:type="dxa"/>
            <w:tcMar>
              <w:top w:w="0" w:type="dxa"/>
              <w:bottom w:w="0" w:type="dxa"/>
            </w:tcMar>
            <w:vAlign w:val="center"/>
          </w:tcPr>
          <w:p w14:paraId="3F3DB52F" w14:textId="77777777" w:rsidR="00C524F6"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3D5CAB15" w14:textId="77777777" w:rsidR="00C524F6" w:rsidRDefault="00000000">
            <w:pPr>
              <w:keepNext/>
              <w:keepLines/>
              <w:spacing w:after="0" w:line="240" w:lineRule="auto"/>
            </w:pPr>
            <w:r>
              <w:rPr>
                <w:sz w:val="18"/>
              </w:rPr>
              <w:t>31</w:t>
            </w:r>
          </w:p>
        </w:tc>
        <w:tc>
          <w:tcPr>
            <w:tcW w:w="1860" w:type="dxa"/>
            <w:tcMar>
              <w:top w:w="0" w:type="dxa"/>
              <w:bottom w:w="0" w:type="dxa"/>
            </w:tcMar>
            <w:vAlign w:val="center"/>
          </w:tcPr>
          <w:p w14:paraId="271C2AC2" w14:textId="77777777" w:rsidR="00C524F6" w:rsidRDefault="00000000">
            <w:pPr>
              <w:keepNext/>
              <w:keepLines/>
              <w:spacing w:after="0" w:line="240" w:lineRule="auto"/>
              <w:jc w:val="right"/>
            </w:pPr>
            <w:r>
              <w:rPr>
                <w:sz w:val="18"/>
              </w:rPr>
              <w:t>495.855,50</w:t>
            </w:r>
          </w:p>
        </w:tc>
        <w:tc>
          <w:tcPr>
            <w:tcW w:w="1860" w:type="dxa"/>
            <w:tcMar>
              <w:top w:w="0" w:type="dxa"/>
              <w:bottom w:w="0" w:type="dxa"/>
            </w:tcMar>
            <w:vAlign w:val="center"/>
          </w:tcPr>
          <w:p w14:paraId="7EA11E0D" w14:textId="77777777" w:rsidR="00C524F6" w:rsidRDefault="00000000">
            <w:pPr>
              <w:keepNext/>
              <w:keepLines/>
              <w:spacing w:after="0" w:line="240" w:lineRule="auto"/>
              <w:jc w:val="right"/>
            </w:pPr>
            <w:r>
              <w:rPr>
                <w:sz w:val="18"/>
              </w:rPr>
              <w:t>877.347,02</w:t>
            </w:r>
          </w:p>
        </w:tc>
        <w:tc>
          <w:tcPr>
            <w:tcW w:w="700" w:type="dxa"/>
            <w:tcMar>
              <w:top w:w="0" w:type="dxa"/>
              <w:bottom w:w="0" w:type="dxa"/>
            </w:tcMar>
            <w:vAlign w:val="center"/>
          </w:tcPr>
          <w:p w14:paraId="060AE72A" w14:textId="77777777" w:rsidR="00C524F6" w:rsidRDefault="00000000">
            <w:pPr>
              <w:keepNext/>
              <w:keepLines/>
              <w:spacing w:after="0" w:line="240" w:lineRule="auto"/>
              <w:jc w:val="right"/>
            </w:pPr>
            <w:r>
              <w:rPr>
                <w:sz w:val="18"/>
              </w:rPr>
              <w:t>176,9</w:t>
            </w:r>
          </w:p>
        </w:tc>
      </w:tr>
    </w:tbl>
    <w:p w14:paraId="68984F0D" w14:textId="77777777" w:rsidR="00C524F6" w:rsidRDefault="00C524F6">
      <w:pPr>
        <w:spacing w:after="0"/>
      </w:pPr>
    </w:p>
    <w:p w14:paraId="361D90A5" w14:textId="77777777" w:rsidR="00C524F6" w:rsidRDefault="00000000">
      <w:pPr>
        <w:jc w:val="both"/>
      </w:pPr>
      <w:r>
        <w:t>Ostvareni su u iznosu od 877.347,02 eura, odnosno 176,9 % u odnosu na navedeno razdoblje prethodne godine. Vidljivo je da je u odnosu na navedeno razdoblje prethodne godine došlo do povećanja rashoda plaće za redovan rad i doprinosa za obvezno zdravstveno osiguranje zbog većeg broja djelatnika i povećanja koeficijenta složenosti poslova. Vidljivi je i rashod za plaće za prekovremeni rad koji je nastao zbog potrebe prekovremenog rada uslijed bolovanja djelatnika. Također, vidljivo je povećanje ostalih rashoda za zaposlene zbog većih iznosa isplate neoporezivih primitaka u odnosu na prethodnu godinu.</w:t>
      </w:r>
    </w:p>
    <w:p w14:paraId="2742EB80" w14:textId="77777777" w:rsidR="00C524F6" w:rsidRDefault="00C524F6"/>
    <w:p w14:paraId="4D515402" w14:textId="77777777" w:rsidR="00C524F6"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524F6" w14:paraId="45353A62" w14:textId="77777777">
        <w:trPr>
          <w:cantSplit/>
        </w:trPr>
        <w:tc>
          <w:tcPr>
            <w:tcW w:w="700" w:type="dxa"/>
            <w:shd w:val="clear" w:color="auto" w:fill="E7F0F9"/>
            <w:tcMar>
              <w:top w:w="0" w:type="dxa"/>
              <w:bottom w:w="0" w:type="dxa"/>
            </w:tcMar>
            <w:vAlign w:val="center"/>
          </w:tcPr>
          <w:p w14:paraId="4410A7A5" w14:textId="77777777" w:rsidR="00C524F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FC3364" w14:textId="77777777" w:rsidR="00C524F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4C63FC" w14:textId="77777777" w:rsidR="00C524F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A4A087" w14:textId="77777777" w:rsidR="00C524F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AF16B0" w14:textId="77777777" w:rsidR="00C524F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0627E4" w14:textId="77777777" w:rsidR="00C524F6" w:rsidRDefault="00000000">
            <w:pPr>
              <w:keepNext/>
              <w:keepLines/>
              <w:spacing w:after="0" w:line="240" w:lineRule="auto"/>
              <w:jc w:val="center"/>
            </w:pPr>
            <w:r>
              <w:rPr>
                <w:b/>
                <w:sz w:val="18"/>
              </w:rPr>
              <w:t>Indeks (%)</w:t>
            </w:r>
          </w:p>
        </w:tc>
      </w:tr>
      <w:tr w:rsidR="00C524F6" w14:paraId="1A90C3A4" w14:textId="77777777">
        <w:trPr>
          <w:cantSplit/>
          <w:trHeight w:val="560"/>
        </w:trPr>
        <w:tc>
          <w:tcPr>
            <w:tcW w:w="700" w:type="dxa"/>
            <w:tcMar>
              <w:top w:w="0" w:type="dxa"/>
              <w:bottom w:w="0" w:type="dxa"/>
            </w:tcMar>
            <w:vAlign w:val="center"/>
          </w:tcPr>
          <w:p w14:paraId="260D924D" w14:textId="77777777" w:rsidR="00C524F6" w:rsidRDefault="00000000">
            <w:pPr>
              <w:keepNext/>
              <w:keepLines/>
              <w:spacing w:after="0" w:line="240" w:lineRule="auto"/>
            </w:pPr>
            <w:r>
              <w:rPr>
                <w:sz w:val="18"/>
              </w:rPr>
              <w:t>32</w:t>
            </w:r>
          </w:p>
        </w:tc>
        <w:tc>
          <w:tcPr>
            <w:tcW w:w="3180" w:type="dxa"/>
            <w:tcMar>
              <w:top w:w="0" w:type="dxa"/>
              <w:bottom w:w="0" w:type="dxa"/>
            </w:tcMar>
            <w:vAlign w:val="center"/>
          </w:tcPr>
          <w:p w14:paraId="71B25F7F" w14:textId="77777777" w:rsidR="00C524F6"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63068EEF" w14:textId="77777777" w:rsidR="00C524F6" w:rsidRDefault="00000000">
            <w:pPr>
              <w:keepNext/>
              <w:keepLines/>
              <w:spacing w:after="0" w:line="240" w:lineRule="auto"/>
            </w:pPr>
            <w:r>
              <w:rPr>
                <w:sz w:val="18"/>
              </w:rPr>
              <w:t>32</w:t>
            </w:r>
          </w:p>
        </w:tc>
        <w:tc>
          <w:tcPr>
            <w:tcW w:w="1860" w:type="dxa"/>
            <w:tcMar>
              <w:top w:w="0" w:type="dxa"/>
              <w:bottom w:w="0" w:type="dxa"/>
            </w:tcMar>
            <w:vAlign w:val="center"/>
          </w:tcPr>
          <w:p w14:paraId="0DA65426" w14:textId="77777777" w:rsidR="00C524F6" w:rsidRDefault="00000000">
            <w:pPr>
              <w:keepNext/>
              <w:keepLines/>
              <w:spacing w:after="0" w:line="240" w:lineRule="auto"/>
              <w:jc w:val="right"/>
            </w:pPr>
            <w:r>
              <w:rPr>
                <w:sz w:val="18"/>
              </w:rPr>
              <w:t>130.943,70</w:t>
            </w:r>
          </w:p>
        </w:tc>
        <w:tc>
          <w:tcPr>
            <w:tcW w:w="1860" w:type="dxa"/>
            <w:tcMar>
              <w:top w:w="0" w:type="dxa"/>
              <w:bottom w:w="0" w:type="dxa"/>
            </w:tcMar>
            <w:vAlign w:val="center"/>
          </w:tcPr>
          <w:p w14:paraId="40F6E9CE" w14:textId="77777777" w:rsidR="00C524F6" w:rsidRDefault="00000000">
            <w:pPr>
              <w:keepNext/>
              <w:keepLines/>
              <w:spacing w:after="0" w:line="240" w:lineRule="auto"/>
              <w:jc w:val="right"/>
            </w:pPr>
            <w:r>
              <w:rPr>
                <w:sz w:val="18"/>
              </w:rPr>
              <w:t>158.106,04</w:t>
            </w:r>
          </w:p>
        </w:tc>
        <w:tc>
          <w:tcPr>
            <w:tcW w:w="700" w:type="dxa"/>
            <w:tcMar>
              <w:top w:w="0" w:type="dxa"/>
              <w:bottom w:w="0" w:type="dxa"/>
            </w:tcMar>
            <w:vAlign w:val="center"/>
          </w:tcPr>
          <w:p w14:paraId="5B745FEC" w14:textId="77777777" w:rsidR="00C524F6" w:rsidRDefault="00000000">
            <w:pPr>
              <w:keepNext/>
              <w:keepLines/>
              <w:spacing w:after="0" w:line="240" w:lineRule="auto"/>
              <w:jc w:val="right"/>
            </w:pPr>
            <w:r>
              <w:rPr>
                <w:sz w:val="18"/>
              </w:rPr>
              <w:t>120,7</w:t>
            </w:r>
          </w:p>
        </w:tc>
      </w:tr>
    </w:tbl>
    <w:p w14:paraId="3EAE3B6D" w14:textId="77777777" w:rsidR="00C524F6" w:rsidRDefault="00C524F6">
      <w:pPr>
        <w:spacing w:after="0"/>
      </w:pPr>
    </w:p>
    <w:p w14:paraId="3D2A9E10" w14:textId="77777777" w:rsidR="00C524F6" w:rsidRDefault="00000000">
      <w:pPr>
        <w:jc w:val="both"/>
      </w:pPr>
      <w:r>
        <w:lastRenderedPageBreak/>
        <w:t>NAKNADE TROŠKOVA ZAPOSLENIMA (321)  su ostvarene u iznosu od 32.967,92 eura, odnosno 129,70  % u odnosu na navedeno razdoblje prethodne godine. Vidljivo je povećanje naknade za prijevoz zbog većeg broja djelatnika u odnosu na navedeno razdoblje prethodne godine. Zbog većeg broja djelatnika vidljivo je i povećanje rashoda za stručno usavršavanje.</w:t>
      </w:r>
    </w:p>
    <w:p w14:paraId="26FEA102" w14:textId="77777777" w:rsidR="00C524F6" w:rsidRDefault="00000000">
      <w:pPr>
        <w:jc w:val="both"/>
      </w:pPr>
      <w:r>
        <w:t>RASHODI ZA MATERIJAL I ENERGIJU (322) su ostvareni u iznosu od 93.235,95 eura, odnosno 119,0% u odnosu na razdoblje prethodne godine. Vidljivo je povećanje rashoda za uredski materijal te materijal i sirovine, do kojeg je došlo zbog povećanja cijena na tržištu. Također, vidljivo je povećanje razhoda za energiju zbog većeg kapaciteta vrtića (dogradnje za dvije odgojno – obrazovne skupine). Iz istog razloga vidljivo je i povećanje rashoda za sitan inventar.</w:t>
      </w:r>
    </w:p>
    <w:p w14:paraId="1173915C" w14:textId="77777777" w:rsidR="00C524F6" w:rsidRDefault="00000000">
      <w:pPr>
        <w:jc w:val="both"/>
      </w:pPr>
      <w:r>
        <w:t>RASHODI ZA USLUGE (323)  su ostvareni u iznosu od 25.550,03 eura, odnosno 128,7 % u odnosu na navedeno razdoblje prethodne godine. Najveće povećanje u odnosu na promatrano razdoblje prethodne godine vidljivo je kod  komunalnih usluga te kod usluga promidžbe i informiranja. Do povećanja komunalnih usluga došlo je zbog povećanja naknade za komunalne usluge (veća količina predanog otpada) te zbog potrebe čišćenja septičke jame i separatora mješavine masti i ulja. Kod usluga promidžbe i informiranja došlo je do povećanja zbog ispunjenja zakonske regulative (raspisivanje natječaja za ravnatelja). Također, vidljivo je povećanja rashoda za zdravstvene i veterinarske usluge zbog zakonskih ispitivanja. Povećali su se i rashodi za ostale usluge zbog većeg broja usluga prijevoza djece autobusom.</w:t>
      </w:r>
    </w:p>
    <w:p w14:paraId="199C42C7" w14:textId="77777777" w:rsidR="00C524F6" w:rsidRDefault="00000000">
      <w:pPr>
        <w:jc w:val="both"/>
      </w:pPr>
      <w:r>
        <w:t>OSTALI NESPOMENUTI RASHODI POSLOVANJA (329)  su ostvareni u iznosu od 6.352,14 eura, odnosno 86,7 % u odnosu na razdoblje prethodne godine. Vidljivo je povećanje premije za osiguranje zbog većeg broja djelatnika te povećanja pristojba i naknada zbog zakonskog povećanja iznosa naknade za nezapošljavanje osoba s invaliditetom.</w:t>
      </w:r>
    </w:p>
    <w:p w14:paraId="1ABA834B" w14:textId="77777777" w:rsidR="00C524F6" w:rsidRDefault="00000000">
      <w:r>
        <w:t> </w:t>
      </w:r>
    </w:p>
    <w:p w14:paraId="004B942A" w14:textId="77777777" w:rsidR="00C524F6" w:rsidRDefault="00C524F6"/>
    <w:p w14:paraId="6E7FC069" w14:textId="77777777" w:rsidR="00C524F6"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524F6" w14:paraId="4FB5AB27" w14:textId="77777777">
        <w:trPr>
          <w:cantSplit/>
        </w:trPr>
        <w:tc>
          <w:tcPr>
            <w:tcW w:w="700" w:type="dxa"/>
            <w:shd w:val="clear" w:color="auto" w:fill="E7F0F9"/>
            <w:tcMar>
              <w:top w:w="0" w:type="dxa"/>
              <w:bottom w:w="0" w:type="dxa"/>
            </w:tcMar>
            <w:vAlign w:val="center"/>
          </w:tcPr>
          <w:p w14:paraId="36055BFB" w14:textId="77777777" w:rsidR="00C524F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A67A56" w14:textId="77777777" w:rsidR="00C524F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AFFA07" w14:textId="77777777" w:rsidR="00C524F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17AEA4" w14:textId="77777777" w:rsidR="00C524F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93AA16" w14:textId="77777777" w:rsidR="00C524F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F0E608" w14:textId="77777777" w:rsidR="00C524F6" w:rsidRDefault="00000000">
            <w:pPr>
              <w:keepNext/>
              <w:keepLines/>
              <w:spacing w:after="0" w:line="240" w:lineRule="auto"/>
              <w:jc w:val="center"/>
            </w:pPr>
            <w:r>
              <w:rPr>
                <w:b/>
                <w:sz w:val="18"/>
              </w:rPr>
              <w:t>Indeks (%)</w:t>
            </w:r>
          </w:p>
        </w:tc>
      </w:tr>
      <w:tr w:rsidR="00C524F6" w14:paraId="1B7FBE3C" w14:textId="77777777">
        <w:trPr>
          <w:cantSplit/>
          <w:trHeight w:val="560"/>
        </w:trPr>
        <w:tc>
          <w:tcPr>
            <w:tcW w:w="700" w:type="dxa"/>
            <w:tcMar>
              <w:top w:w="0" w:type="dxa"/>
              <w:bottom w:w="0" w:type="dxa"/>
            </w:tcMar>
            <w:vAlign w:val="center"/>
          </w:tcPr>
          <w:p w14:paraId="0773E6BD" w14:textId="77777777" w:rsidR="00C524F6" w:rsidRDefault="00000000">
            <w:pPr>
              <w:keepNext/>
              <w:keepLines/>
              <w:spacing w:after="0" w:line="240" w:lineRule="auto"/>
            </w:pPr>
            <w:r>
              <w:rPr>
                <w:sz w:val="18"/>
              </w:rPr>
              <w:t>34</w:t>
            </w:r>
          </w:p>
        </w:tc>
        <w:tc>
          <w:tcPr>
            <w:tcW w:w="3180" w:type="dxa"/>
            <w:tcMar>
              <w:top w:w="0" w:type="dxa"/>
              <w:bottom w:w="0" w:type="dxa"/>
            </w:tcMar>
            <w:vAlign w:val="center"/>
          </w:tcPr>
          <w:p w14:paraId="0467A5E6" w14:textId="77777777" w:rsidR="00C524F6"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175415BD" w14:textId="77777777" w:rsidR="00C524F6" w:rsidRDefault="00000000">
            <w:pPr>
              <w:keepNext/>
              <w:keepLines/>
              <w:spacing w:after="0" w:line="240" w:lineRule="auto"/>
            </w:pPr>
            <w:r>
              <w:rPr>
                <w:sz w:val="18"/>
              </w:rPr>
              <w:t>34</w:t>
            </w:r>
          </w:p>
        </w:tc>
        <w:tc>
          <w:tcPr>
            <w:tcW w:w="1860" w:type="dxa"/>
            <w:tcMar>
              <w:top w:w="0" w:type="dxa"/>
              <w:bottom w:w="0" w:type="dxa"/>
            </w:tcMar>
            <w:vAlign w:val="center"/>
          </w:tcPr>
          <w:p w14:paraId="0FD2BB72" w14:textId="77777777" w:rsidR="00C524F6" w:rsidRDefault="00000000">
            <w:pPr>
              <w:keepNext/>
              <w:keepLines/>
              <w:spacing w:after="0" w:line="240" w:lineRule="auto"/>
              <w:jc w:val="right"/>
            </w:pPr>
            <w:r>
              <w:rPr>
                <w:sz w:val="18"/>
              </w:rPr>
              <w:t>1.358,99</w:t>
            </w:r>
          </w:p>
        </w:tc>
        <w:tc>
          <w:tcPr>
            <w:tcW w:w="1860" w:type="dxa"/>
            <w:tcMar>
              <w:top w:w="0" w:type="dxa"/>
              <w:bottom w:w="0" w:type="dxa"/>
            </w:tcMar>
            <w:vAlign w:val="center"/>
          </w:tcPr>
          <w:p w14:paraId="226DB857" w14:textId="77777777" w:rsidR="00C524F6" w:rsidRDefault="00000000">
            <w:pPr>
              <w:keepNext/>
              <w:keepLines/>
              <w:spacing w:after="0" w:line="240" w:lineRule="auto"/>
              <w:jc w:val="right"/>
            </w:pPr>
            <w:r>
              <w:rPr>
                <w:sz w:val="18"/>
              </w:rPr>
              <w:t>1.774,34</w:t>
            </w:r>
          </w:p>
        </w:tc>
        <w:tc>
          <w:tcPr>
            <w:tcW w:w="700" w:type="dxa"/>
            <w:tcMar>
              <w:top w:w="0" w:type="dxa"/>
              <w:bottom w:w="0" w:type="dxa"/>
            </w:tcMar>
            <w:vAlign w:val="center"/>
          </w:tcPr>
          <w:p w14:paraId="6645B6B9" w14:textId="77777777" w:rsidR="00C524F6" w:rsidRDefault="00000000">
            <w:pPr>
              <w:keepNext/>
              <w:keepLines/>
              <w:spacing w:after="0" w:line="240" w:lineRule="auto"/>
              <w:jc w:val="right"/>
            </w:pPr>
            <w:r>
              <w:rPr>
                <w:sz w:val="18"/>
              </w:rPr>
              <w:t>130,6</w:t>
            </w:r>
          </w:p>
        </w:tc>
      </w:tr>
    </w:tbl>
    <w:p w14:paraId="0EB1D446" w14:textId="77777777" w:rsidR="00C524F6" w:rsidRDefault="00C524F6">
      <w:pPr>
        <w:spacing w:after="0"/>
      </w:pPr>
    </w:p>
    <w:p w14:paraId="5729380D" w14:textId="77777777" w:rsidR="00C524F6" w:rsidRDefault="00000000">
      <w:pPr>
        <w:jc w:val="both"/>
      </w:pPr>
      <w:r>
        <w:t>Financijski rashodi ostvareni su u iznosu od 1.774,34 eura, odnosno 130,6% u odnosu na izvještajno razdoblje prethodne godine. Odnose se na bankarske usluge i usluge platnog prometa te na rashode vezane uz zatezne kamate.  Vidljivo je povećanje zbog povećanja naknade platnog prometa i većih zateznih kamata.</w:t>
      </w:r>
    </w:p>
    <w:p w14:paraId="63583485" w14:textId="77777777" w:rsidR="00C524F6" w:rsidRDefault="00C524F6"/>
    <w:p w14:paraId="49E3BE70" w14:textId="77777777" w:rsidR="00C524F6"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524F6" w14:paraId="32AE75ED" w14:textId="77777777">
        <w:trPr>
          <w:cantSplit/>
        </w:trPr>
        <w:tc>
          <w:tcPr>
            <w:tcW w:w="700" w:type="dxa"/>
            <w:shd w:val="clear" w:color="auto" w:fill="E7F0F9"/>
            <w:tcMar>
              <w:top w:w="0" w:type="dxa"/>
              <w:bottom w:w="0" w:type="dxa"/>
            </w:tcMar>
            <w:vAlign w:val="center"/>
          </w:tcPr>
          <w:p w14:paraId="410DACA6" w14:textId="77777777" w:rsidR="00C524F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A52D9A" w14:textId="77777777" w:rsidR="00C524F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D349DC" w14:textId="77777777" w:rsidR="00C524F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C53964" w14:textId="77777777" w:rsidR="00C524F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377B36" w14:textId="77777777" w:rsidR="00C524F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7E7DD6" w14:textId="77777777" w:rsidR="00C524F6" w:rsidRDefault="00000000">
            <w:pPr>
              <w:keepNext/>
              <w:keepLines/>
              <w:spacing w:after="0" w:line="240" w:lineRule="auto"/>
              <w:jc w:val="center"/>
            </w:pPr>
            <w:r>
              <w:rPr>
                <w:b/>
                <w:sz w:val="18"/>
              </w:rPr>
              <w:t>Indeks (%)</w:t>
            </w:r>
          </w:p>
        </w:tc>
      </w:tr>
      <w:tr w:rsidR="00C524F6" w14:paraId="70198F5A" w14:textId="77777777">
        <w:trPr>
          <w:cantSplit/>
          <w:trHeight w:val="560"/>
        </w:trPr>
        <w:tc>
          <w:tcPr>
            <w:tcW w:w="700" w:type="dxa"/>
            <w:tcMar>
              <w:top w:w="0" w:type="dxa"/>
              <w:bottom w:w="0" w:type="dxa"/>
            </w:tcMar>
            <w:vAlign w:val="center"/>
          </w:tcPr>
          <w:p w14:paraId="69EED040" w14:textId="77777777" w:rsidR="00C524F6" w:rsidRDefault="00000000">
            <w:pPr>
              <w:keepNext/>
              <w:keepLines/>
              <w:spacing w:after="0" w:line="240" w:lineRule="auto"/>
            </w:pPr>
            <w:r>
              <w:rPr>
                <w:sz w:val="18"/>
              </w:rPr>
              <w:t>42</w:t>
            </w:r>
          </w:p>
        </w:tc>
        <w:tc>
          <w:tcPr>
            <w:tcW w:w="3180" w:type="dxa"/>
            <w:tcMar>
              <w:top w:w="0" w:type="dxa"/>
              <w:bottom w:w="0" w:type="dxa"/>
            </w:tcMar>
            <w:vAlign w:val="center"/>
          </w:tcPr>
          <w:p w14:paraId="09B80836" w14:textId="77777777" w:rsidR="00C524F6"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741FB4BD" w14:textId="77777777" w:rsidR="00C524F6" w:rsidRDefault="00000000">
            <w:pPr>
              <w:keepNext/>
              <w:keepLines/>
              <w:spacing w:after="0" w:line="240" w:lineRule="auto"/>
            </w:pPr>
            <w:r>
              <w:rPr>
                <w:sz w:val="18"/>
              </w:rPr>
              <w:t>42</w:t>
            </w:r>
          </w:p>
        </w:tc>
        <w:tc>
          <w:tcPr>
            <w:tcW w:w="1860" w:type="dxa"/>
            <w:tcMar>
              <w:top w:w="0" w:type="dxa"/>
              <w:bottom w:w="0" w:type="dxa"/>
            </w:tcMar>
            <w:vAlign w:val="center"/>
          </w:tcPr>
          <w:p w14:paraId="7F65AE8B" w14:textId="77777777" w:rsidR="00C524F6" w:rsidRDefault="00000000">
            <w:pPr>
              <w:keepNext/>
              <w:keepLines/>
              <w:spacing w:after="0" w:line="240" w:lineRule="auto"/>
              <w:jc w:val="right"/>
            </w:pPr>
            <w:r>
              <w:rPr>
                <w:sz w:val="18"/>
              </w:rPr>
              <w:t>3.871,22</w:t>
            </w:r>
          </w:p>
        </w:tc>
        <w:tc>
          <w:tcPr>
            <w:tcW w:w="1860" w:type="dxa"/>
            <w:tcMar>
              <w:top w:w="0" w:type="dxa"/>
              <w:bottom w:w="0" w:type="dxa"/>
            </w:tcMar>
            <w:vAlign w:val="center"/>
          </w:tcPr>
          <w:p w14:paraId="7AE5FC4F" w14:textId="77777777" w:rsidR="00C524F6" w:rsidRDefault="00000000">
            <w:pPr>
              <w:keepNext/>
              <w:keepLines/>
              <w:spacing w:after="0" w:line="240" w:lineRule="auto"/>
              <w:jc w:val="right"/>
            </w:pPr>
            <w:r>
              <w:rPr>
                <w:sz w:val="18"/>
              </w:rPr>
              <w:t>4.734,09</w:t>
            </w:r>
          </w:p>
        </w:tc>
        <w:tc>
          <w:tcPr>
            <w:tcW w:w="700" w:type="dxa"/>
            <w:tcMar>
              <w:top w:w="0" w:type="dxa"/>
              <w:bottom w:w="0" w:type="dxa"/>
            </w:tcMar>
            <w:vAlign w:val="center"/>
          </w:tcPr>
          <w:p w14:paraId="640D5F9A" w14:textId="77777777" w:rsidR="00C524F6" w:rsidRDefault="00000000">
            <w:pPr>
              <w:keepNext/>
              <w:keepLines/>
              <w:spacing w:after="0" w:line="240" w:lineRule="auto"/>
              <w:jc w:val="right"/>
            </w:pPr>
            <w:r>
              <w:rPr>
                <w:sz w:val="18"/>
              </w:rPr>
              <w:t>122,3</w:t>
            </w:r>
          </w:p>
        </w:tc>
      </w:tr>
    </w:tbl>
    <w:p w14:paraId="1F9D6BEE" w14:textId="77777777" w:rsidR="00C524F6" w:rsidRDefault="00C524F6">
      <w:pPr>
        <w:spacing w:after="0"/>
      </w:pPr>
    </w:p>
    <w:p w14:paraId="7542433A" w14:textId="77777777" w:rsidR="00C524F6" w:rsidRDefault="00000000">
      <w:pPr>
        <w:jc w:val="both"/>
      </w:pPr>
      <w:r>
        <w:t>Rashodi za nabavu prizvedene dugotrajne imovine ostvareni su u iznosu od 4.734,09 eura odnosno 122,3% u odnosu na izvještajno razdoblje prethodne godine. Do povećanja navedenih rashoda došlo je jer je uz redovnu potrebu za nabavu opreme bilo potrebno i ulaganje u računalne programe zbog ispunjenja zakonske regulative.</w:t>
      </w:r>
    </w:p>
    <w:p w14:paraId="0A1A0A00" w14:textId="77777777" w:rsidR="00C524F6" w:rsidRDefault="00C524F6"/>
    <w:p w14:paraId="23FE5447" w14:textId="77777777" w:rsidR="00C524F6" w:rsidRDefault="00000000">
      <w:pPr>
        <w:keepNext/>
        <w:spacing w:line="240" w:lineRule="auto"/>
        <w:jc w:val="center"/>
      </w:pPr>
      <w:r>
        <w:rPr>
          <w:b/>
          <w:sz w:val="28"/>
        </w:rPr>
        <w:t>Bilanca</w:t>
      </w:r>
    </w:p>
    <w:p w14:paraId="6EF3FD0F" w14:textId="77777777" w:rsidR="00C524F6"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524F6" w14:paraId="69251C08" w14:textId="77777777">
        <w:trPr>
          <w:cantSplit/>
        </w:trPr>
        <w:tc>
          <w:tcPr>
            <w:tcW w:w="700" w:type="dxa"/>
            <w:shd w:val="clear" w:color="auto" w:fill="E7F0F9"/>
            <w:tcMar>
              <w:top w:w="0" w:type="dxa"/>
              <w:bottom w:w="0" w:type="dxa"/>
            </w:tcMar>
            <w:vAlign w:val="center"/>
          </w:tcPr>
          <w:p w14:paraId="21401D6A" w14:textId="77777777" w:rsidR="00C524F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B533D1" w14:textId="77777777" w:rsidR="00C524F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919744" w14:textId="77777777" w:rsidR="00C524F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64EA56" w14:textId="77777777" w:rsidR="00C524F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7ECEE4" w14:textId="77777777" w:rsidR="00C524F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D3DF29" w14:textId="77777777" w:rsidR="00C524F6" w:rsidRDefault="00000000">
            <w:pPr>
              <w:keepNext/>
              <w:keepLines/>
              <w:spacing w:after="0" w:line="240" w:lineRule="auto"/>
              <w:jc w:val="center"/>
            </w:pPr>
            <w:r>
              <w:rPr>
                <w:b/>
                <w:sz w:val="18"/>
              </w:rPr>
              <w:t>Indeks (%)</w:t>
            </w:r>
          </w:p>
        </w:tc>
      </w:tr>
      <w:tr w:rsidR="00C524F6" w14:paraId="4A006DD6" w14:textId="77777777">
        <w:trPr>
          <w:cantSplit/>
          <w:trHeight w:val="560"/>
        </w:trPr>
        <w:tc>
          <w:tcPr>
            <w:tcW w:w="700" w:type="dxa"/>
            <w:tcMar>
              <w:top w:w="0" w:type="dxa"/>
              <w:bottom w:w="0" w:type="dxa"/>
            </w:tcMar>
            <w:vAlign w:val="center"/>
          </w:tcPr>
          <w:p w14:paraId="4FB14D93" w14:textId="77777777" w:rsidR="00C524F6" w:rsidRDefault="00C524F6">
            <w:pPr>
              <w:keepNext/>
              <w:keepLines/>
              <w:spacing w:after="0" w:line="240" w:lineRule="auto"/>
            </w:pPr>
          </w:p>
        </w:tc>
        <w:tc>
          <w:tcPr>
            <w:tcW w:w="3180" w:type="dxa"/>
            <w:tcMar>
              <w:top w:w="0" w:type="dxa"/>
              <w:bottom w:w="0" w:type="dxa"/>
            </w:tcMar>
            <w:vAlign w:val="center"/>
          </w:tcPr>
          <w:p w14:paraId="5FF9E51B" w14:textId="77777777" w:rsidR="00C524F6" w:rsidRDefault="00000000">
            <w:pPr>
              <w:keepNext/>
              <w:keepLines/>
              <w:spacing w:after="0" w:line="240" w:lineRule="auto"/>
            </w:pPr>
            <w:r>
              <w:rPr>
                <w:sz w:val="18"/>
              </w:rPr>
              <w:t>IMOVINA (šifre B002+1)</w:t>
            </w:r>
          </w:p>
        </w:tc>
        <w:tc>
          <w:tcPr>
            <w:tcW w:w="700" w:type="dxa"/>
            <w:tcMar>
              <w:top w:w="0" w:type="dxa"/>
              <w:bottom w:w="0" w:type="dxa"/>
            </w:tcMar>
            <w:vAlign w:val="center"/>
          </w:tcPr>
          <w:p w14:paraId="10D71B72" w14:textId="77777777" w:rsidR="00C524F6" w:rsidRDefault="00000000">
            <w:pPr>
              <w:keepNext/>
              <w:keepLines/>
              <w:spacing w:after="0" w:line="240" w:lineRule="auto"/>
            </w:pPr>
            <w:r>
              <w:rPr>
                <w:sz w:val="18"/>
              </w:rPr>
              <w:t>B001</w:t>
            </w:r>
          </w:p>
        </w:tc>
        <w:tc>
          <w:tcPr>
            <w:tcW w:w="1860" w:type="dxa"/>
            <w:tcMar>
              <w:top w:w="0" w:type="dxa"/>
              <w:bottom w:w="0" w:type="dxa"/>
            </w:tcMar>
            <w:vAlign w:val="center"/>
          </w:tcPr>
          <w:p w14:paraId="2744A7B4" w14:textId="77777777" w:rsidR="00C524F6" w:rsidRDefault="00000000">
            <w:pPr>
              <w:keepNext/>
              <w:keepLines/>
              <w:spacing w:after="0" w:line="240" w:lineRule="auto"/>
              <w:jc w:val="right"/>
            </w:pPr>
            <w:r>
              <w:rPr>
                <w:sz w:val="18"/>
              </w:rPr>
              <w:t>215.451,53</w:t>
            </w:r>
          </w:p>
        </w:tc>
        <w:tc>
          <w:tcPr>
            <w:tcW w:w="1860" w:type="dxa"/>
            <w:tcMar>
              <w:top w:w="0" w:type="dxa"/>
              <w:bottom w:w="0" w:type="dxa"/>
            </w:tcMar>
            <w:vAlign w:val="center"/>
          </w:tcPr>
          <w:p w14:paraId="0FE25C37" w14:textId="77777777" w:rsidR="00C524F6" w:rsidRDefault="00000000">
            <w:pPr>
              <w:keepNext/>
              <w:keepLines/>
              <w:spacing w:after="0" w:line="240" w:lineRule="auto"/>
              <w:jc w:val="right"/>
            </w:pPr>
            <w:r>
              <w:rPr>
                <w:sz w:val="18"/>
              </w:rPr>
              <w:t>147.150,18</w:t>
            </w:r>
          </w:p>
        </w:tc>
        <w:tc>
          <w:tcPr>
            <w:tcW w:w="700" w:type="dxa"/>
            <w:tcMar>
              <w:top w:w="0" w:type="dxa"/>
              <w:bottom w:w="0" w:type="dxa"/>
            </w:tcMar>
            <w:vAlign w:val="center"/>
          </w:tcPr>
          <w:p w14:paraId="79F869D1" w14:textId="77777777" w:rsidR="00C524F6" w:rsidRDefault="00000000">
            <w:pPr>
              <w:keepNext/>
              <w:keepLines/>
              <w:spacing w:after="0" w:line="240" w:lineRule="auto"/>
              <w:jc w:val="right"/>
            </w:pPr>
            <w:r>
              <w:rPr>
                <w:sz w:val="18"/>
              </w:rPr>
              <w:t>68,3</w:t>
            </w:r>
          </w:p>
        </w:tc>
      </w:tr>
    </w:tbl>
    <w:p w14:paraId="0D828EC6" w14:textId="77777777" w:rsidR="00C524F6" w:rsidRDefault="00C524F6">
      <w:pPr>
        <w:spacing w:after="0"/>
      </w:pPr>
    </w:p>
    <w:p w14:paraId="64AC0836" w14:textId="77777777" w:rsidR="00C524F6" w:rsidRDefault="00000000">
      <w:pPr>
        <w:jc w:val="both"/>
      </w:pPr>
      <w:r>
        <w:t>Vrijednost imovine (B001) iznosi 147.150,18 eura i jednaka je obvezama i vlastitim izvorima (B003) 147.150,18 eura čime je zadovoljena bilančna ravnoteža.</w:t>
      </w:r>
    </w:p>
    <w:p w14:paraId="36C3E7FE" w14:textId="77777777" w:rsidR="00C524F6" w:rsidRDefault="00C524F6"/>
    <w:p w14:paraId="14A7D617" w14:textId="77777777" w:rsidR="00C524F6"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524F6" w14:paraId="59C463C9" w14:textId="77777777">
        <w:trPr>
          <w:cantSplit/>
        </w:trPr>
        <w:tc>
          <w:tcPr>
            <w:tcW w:w="700" w:type="dxa"/>
            <w:shd w:val="clear" w:color="auto" w:fill="E7F0F9"/>
            <w:tcMar>
              <w:top w:w="0" w:type="dxa"/>
              <w:bottom w:w="0" w:type="dxa"/>
            </w:tcMar>
            <w:vAlign w:val="center"/>
          </w:tcPr>
          <w:p w14:paraId="05CCE988" w14:textId="77777777" w:rsidR="00C524F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27AA39" w14:textId="77777777" w:rsidR="00C524F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BA1FCE" w14:textId="77777777" w:rsidR="00C524F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62E62C" w14:textId="77777777" w:rsidR="00C524F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124F2A3" w14:textId="77777777" w:rsidR="00C524F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17D2A16" w14:textId="77777777" w:rsidR="00C524F6" w:rsidRDefault="00000000">
            <w:pPr>
              <w:keepNext/>
              <w:keepLines/>
              <w:spacing w:after="0" w:line="240" w:lineRule="auto"/>
              <w:jc w:val="center"/>
            </w:pPr>
            <w:r>
              <w:rPr>
                <w:b/>
                <w:sz w:val="18"/>
              </w:rPr>
              <w:t>Indeks (%)</w:t>
            </w:r>
          </w:p>
        </w:tc>
      </w:tr>
      <w:tr w:rsidR="00C524F6" w14:paraId="0548F309" w14:textId="77777777">
        <w:trPr>
          <w:cantSplit/>
          <w:trHeight w:val="560"/>
        </w:trPr>
        <w:tc>
          <w:tcPr>
            <w:tcW w:w="700" w:type="dxa"/>
            <w:tcMar>
              <w:top w:w="0" w:type="dxa"/>
              <w:bottom w:w="0" w:type="dxa"/>
            </w:tcMar>
            <w:vAlign w:val="center"/>
          </w:tcPr>
          <w:p w14:paraId="5E34EF08" w14:textId="77777777" w:rsidR="00C524F6" w:rsidRDefault="00000000">
            <w:pPr>
              <w:keepNext/>
              <w:keepLines/>
              <w:spacing w:after="0" w:line="240" w:lineRule="auto"/>
            </w:pPr>
            <w:r>
              <w:rPr>
                <w:sz w:val="18"/>
              </w:rPr>
              <w:t>11</w:t>
            </w:r>
          </w:p>
        </w:tc>
        <w:tc>
          <w:tcPr>
            <w:tcW w:w="3180" w:type="dxa"/>
            <w:tcMar>
              <w:top w:w="0" w:type="dxa"/>
              <w:bottom w:w="0" w:type="dxa"/>
            </w:tcMar>
            <w:vAlign w:val="center"/>
          </w:tcPr>
          <w:p w14:paraId="2FC2FE05" w14:textId="77777777" w:rsidR="00C524F6"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6697BFCF" w14:textId="77777777" w:rsidR="00C524F6" w:rsidRDefault="00000000">
            <w:pPr>
              <w:keepNext/>
              <w:keepLines/>
              <w:spacing w:after="0" w:line="240" w:lineRule="auto"/>
            </w:pPr>
            <w:r>
              <w:rPr>
                <w:sz w:val="18"/>
              </w:rPr>
              <w:t>11</w:t>
            </w:r>
          </w:p>
        </w:tc>
        <w:tc>
          <w:tcPr>
            <w:tcW w:w="1860" w:type="dxa"/>
            <w:tcMar>
              <w:top w:w="0" w:type="dxa"/>
              <w:bottom w:w="0" w:type="dxa"/>
            </w:tcMar>
            <w:vAlign w:val="center"/>
          </w:tcPr>
          <w:p w14:paraId="66A658AA" w14:textId="77777777" w:rsidR="00C524F6" w:rsidRDefault="00000000">
            <w:pPr>
              <w:keepNext/>
              <w:keepLines/>
              <w:spacing w:after="0" w:line="240" w:lineRule="auto"/>
              <w:jc w:val="right"/>
            </w:pPr>
            <w:r>
              <w:rPr>
                <w:sz w:val="18"/>
              </w:rPr>
              <w:t>898,76</w:t>
            </w:r>
          </w:p>
        </w:tc>
        <w:tc>
          <w:tcPr>
            <w:tcW w:w="1860" w:type="dxa"/>
            <w:tcMar>
              <w:top w:w="0" w:type="dxa"/>
              <w:bottom w:w="0" w:type="dxa"/>
            </w:tcMar>
            <w:vAlign w:val="center"/>
          </w:tcPr>
          <w:p w14:paraId="16A46440" w14:textId="77777777" w:rsidR="00C524F6" w:rsidRDefault="00000000">
            <w:pPr>
              <w:keepNext/>
              <w:keepLines/>
              <w:spacing w:after="0" w:line="240" w:lineRule="auto"/>
              <w:jc w:val="right"/>
            </w:pPr>
            <w:r>
              <w:rPr>
                <w:sz w:val="18"/>
              </w:rPr>
              <w:t>0,00</w:t>
            </w:r>
          </w:p>
        </w:tc>
        <w:tc>
          <w:tcPr>
            <w:tcW w:w="700" w:type="dxa"/>
            <w:tcMar>
              <w:top w:w="0" w:type="dxa"/>
              <w:bottom w:w="0" w:type="dxa"/>
            </w:tcMar>
            <w:vAlign w:val="center"/>
          </w:tcPr>
          <w:p w14:paraId="3BA6B3B5" w14:textId="77777777" w:rsidR="00C524F6" w:rsidRDefault="00000000">
            <w:pPr>
              <w:keepNext/>
              <w:keepLines/>
              <w:spacing w:after="0" w:line="240" w:lineRule="auto"/>
              <w:jc w:val="right"/>
            </w:pPr>
            <w:r>
              <w:rPr>
                <w:sz w:val="18"/>
              </w:rPr>
              <w:t>0</w:t>
            </w:r>
          </w:p>
        </w:tc>
      </w:tr>
    </w:tbl>
    <w:p w14:paraId="5AA0504C" w14:textId="77777777" w:rsidR="00C524F6" w:rsidRDefault="00C524F6">
      <w:pPr>
        <w:spacing w:after="0"/>
      </w:pPr>
    </w:p>
    <w:p w14:paraId="53355E02" w14:textId="77777777" w:rsidR="00C524F6" w:rsidRDefault="00000000">
      <w:pPr>
        <w:jc w:val="both"/>
      </w:pPr>
      <w:r>
        <w:t>S obzirom na odluku Općinskog vijeća Općine Vidovec o uvođenju riznice Općine Vidovec, žiro račun Dječjeg vrtića Škrinjica je zatvoren s danom 31.12.2025. godine te su sredstva zatečena na računu  (iznos od 396,92 eura što je vidljivo na kontu 167) prebačena na žiro račun Općine Vidovec.</w:t>
      </w:r>
    </w:p>
    <w:p w14:paraId="416449DE" w14:textId="77777777" w:rsidR="00C524F6" w:rsidRDefault="00000000">
      <w:pPr>
        <w:jc w:val="both"/>
      </w:pPr>
      <w:r>
        <w:t>Na dan 31.12.2025. godine stanje na računu Dječjeg vrtića Škrinjica i u blagajni iznosi 0,00 eura.</w:t>
      </w:r>
    </w:p>
    <w:p w14:paraId="3F72AD01" w14:textId="77777777" w:rsidR="00C524F6" w:rsidRDefault="00C524F6"/>
    <w:p w14:paraId="2D63D3A9" w14:textId="77777777" w:rsidR="00C524F6" w:rsidRDefault="00000000">
      <w:pPr>
        <w:keepNext/>
        <w:spacing w:line="240" w:lineRule="auto"/>
        <w:jc w:val="center"/>
      </w:pPr>
      <w:r>
        <w:rPr>
          <w:b/>
          <w:sz w:val="28"/>
        </w:rPr>
        <w:lastRenderedPageBreak/>
        <w:t>Izvještaj o rashodima prema funkcijskoj klasifikaciji</w:t>
      </w:r>
    </w:p>
    <w:p w14:paraId="69BBBB21" w14:textId="77777777" w:rsidR="00C524F6"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524F6" w14:paraId="7D53D13C" w14:textId="77777777">
        <w:trPr>
          <w:cantSplit/>
        </w:trPr>
        <w:tc>
          <w:tcPr>
            <w:tcW w:w="700" w:type="dxa"/>
            <w:shd w:val="clear" w:color="auto" w:fill="E7F0F9"/>
            <w:tcMar>
              <w:top w:w="0" w:type="dxa"/>
              <w:bottom w:w="0" w:type="dxa"/>
            </w:tcMar>
            <w:vAlign w:val="center"/>
          </w:tcPr>
          <w:p w14:paraId="6206DECB" w14:textId="77777777" w:rsidR="00C524F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9DEA9D" w14:textId="77777777" w:rsidR="00C524F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3E4CD9" w14:textId="77777777" w:rsidR="00C524F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16E312" w14:textId="77777777" w:rsidR="00C524F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11F2E4" w14:textId="77777777" w:rsidR="00C524F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A00E5D" w14:textId="77777777" w:rsidR="00C524F6" w:rsidRDefault="00000000">
            <w:pPr>
              <w:keepNext/>
              <w:keepLines/>
              <w:spacing w:after="0" w:line="240" w:lineRule="auto"/>
              <w:jc w:val="center"/>
            </w:pPr>
            <w:r>
              <w:rPr>
                <w:b/>
                <w:sz w:val="18"/>
              </w:rPr>
              <w:t>Indeks (%)</w:t>
            </w:r>
          </w:p>
        </w:tc>
      </w:tr>
      <w:tr w:rsidR="00C524F6" w14:paraId="3F775A84" w14:textId="77777777">
        <w:trPr>
          <w:cantSplit/>
          <w:trHeight w:val="560"/>
        </w:trPr>
        <w:tc>
          <w:tcPr>
            <w:tcW w:w="700" w:type="dxa"/>
            <w:tcMar>
              <w:top w:w="0" w:type="dxa"/>
              <w:bottom w:w="0" w:type="dxa"/>
            </w:tcMar>
            <w:vAlign w:val="center"/>
          </w:tcPr>
          <w:p w14:paraId="138EE7A1" w14:textId="77777777" w:rsidR="00C524F6" w:rsidRDefault="00000000">
            <w:pPr>
              <w:keepNext/>
              <w:keepLines/>
              <w:spacing w:after="0" w:line="240" w:lineRule="auto"/>
            </w:pPr>
            <w:r>
              <w:rPr>
                <w:sz w:val="18"/>
              </w:rPr>
              <w:t>09</w:t>
            </w:r>
          </w:p>
        </w:tc>
        <w:tc>
          <w:tcPr>
            <w:tcW w:w="3180" w:type="dxa"/>
            <w:tcMar>
              <w:top w:w="0" w:type="dxa"/>
              <w:bottom w:w="0" w:type="dxa"/>
            </w:tcMar>
            <w:vAlign w:val="center"/>
          </w:tcPr>
          <w:p w14:paraId="6C58D6A4" w14:textId="77777777" w:rsidR="00C524F6"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272F328A" w14:textId="77777777" w:rsidR="00C524F6" w:rsidRDefault="00000000">
            <w:pPr>
              <w:keepNext/>
              <w:keepLines/>
              <w:spacing w:after="0" w:line="240" w:lineRule="auto"/>
            </w:pPr>
            <w:r>
              <w:rPr>
                <w:sz w:val="18"/>
              </w:rPr>
              <w:t>09</w:t>
            </w:r>
          </w:p>
        </w:tc>
        <w:tc>
          <w:tcPr>
            <w:tcW w:w="1860" w:type="dxa"/>
            <w:tcMar>
              <w:top w:w="0" w:type="dxa"/>
              <w:bottom w:w="0" w:type="dxa"/>
            </w:tcMar>
            <w:vAlign w:val="center"/>
          </w:tcPr>
          <w:p w14:paraId="58B28D68" w14:textId="77777777" w:rsidR="00C524F6" w:rsidRDefault="00000000">
            <w:pPr>
              <w:keepNext/>
              <w:keepLines/>
              <w:spacing w:after="0" w:line="240" w:lineRule="auto"/>
              <w:jc w:val="right"/>
            </w:pPr>
            <w:r>
              <w:rPr>
                <w:sz w:val="18"/>
              </w:rPr>
              <w:t>632.029,41</w:t>
            </w:r>
          </w:p>
        </w:tc>
        <w:tc>
          <w:tcPr>
            <w:tcW w:w="1860" w:type="dxa"/>
            <w:tcMar>
              <w:top w:w="0" w:type="dxa"/>
              <w:bottom w:w="0" w:type="dxa"/>
            </w:tcMar>
            <w:vAlign w:val="center"/>
          </w:tcPr>
          <w:p w14:paraId="54E7AE3D" w14:textId="77777777" w:rsidR="00C524F6" w:rsidRDefault="00000000">
            <w:pPr>
              <w:keepNext/>
              <w:keepLines/>
              <w:spacing w:after="0" w:line="240" w:lineRule="auto"/>
              <w:jc w:val="right"/>
            </w:pPr>
            <w:r>
              <w:rPr>
                <w:sz w:val="18"/>
              </w:rPr>
              <w:t>1.041.961,49</w:t>
            </w:r>
          </w:p>
        </w:tc>
        <w:tc>
          <w:tcPr>
            <w:tcW w:w="700" w:type="dxa"/>
            <w:tcMar>
              <w:top w:w="0" w:type="dxa"/>
              <w:bottom w:w="0" w:type="dxa"/>
            </w:tcMar>
            <w:vAlign w:val="center"/>
          </w:tcPr>
          <w:p w14:paraId="571443BC" w14:textId="77777777" w:rsidR="00C524F6" w:rsidRDefault="00000000">
            <w:pPr>
              <w:keepNext/>
              <w:keepLines/>
              <w:spacing w:after="0" w:line="240" w:lineRule="auto"/>
              <w:jc w:val="right"/>
            </w:pPr>
            <w:r>
              <w:rPr>
                <w:sz w:val="18"/>
              </w:rPr>
              <w:t>164,9</w:t>
            </w:r>
          </w:p>
        </w:tc>
      </w:tr>
    </w:tbl>
    <w:p w14:paraId="60D83DE9" w14:textId="77777777" w:rsidR="00C524F6" w:rsidRDefault="00C524F6">
      <w:pPr>
        <w:spacing w:after="0"/>
      </w:pPr>
    </w:p>
    <w:p w14:paraId="62CC0A2E" w14:textId="77777777" w:rsidR="00C524F6" w:rsidRDefault="00000000">
      <w:pPr>
        <w:jc w:val="both"/>
      </w:pPr>
      <w:r>
        <w:t>U razdoblju od 01.01.2025. do 31.12.2025. ukupni  rashodi prema funkcijskoj  klasifikaciji Obrazovanje (09) iznose 1.041.961,49 eura te se sastoje od rashoda za Predškolsko obrazovanje (0911) te Rashoda za dodatne usluge u obrazovanju (096).</w:t>
      </w:r>
    </w:p>
    <w:p w14:paraId="48AF6E30" w14:textId="77777777" w:rsidR="00C524F6" w:rsidRDefault="00000000">
      <w:pPr>
        <w:jc w:val="both"/>
      </w:pPr>
      <w:r>
        <w:t> </w:t>
      </w:r>
    </w:p>
    <w:p w14:paraId="0D22FB5C" w14:textId="77777777" w:rsidR="00C524F6" w:rsidRDefault="00000000">
      <w:pPr>
        <w:jc w:val="both"/>
      </w:pPr>
      <w:r>
        <w:t>Rashodi za  Predškolsko obrazovanje (0911) iznose 1.001.669,07 eura i odnose se na sve troškove u vrtiću osim troškova prehrane. Vidljivo je povećanje zbog upisanog većeg broja djece u mjesecu prosincu 2024. godine (dogradnja Dječjeg vrtića i proširenje za dvije odgojno obrazovne skupine).</w:t>
      </w:r>
    </w:p>
    <w:p w14:paraId="1211BCAF" w14:textId="77777777" w:rsidR="00C524F6" w:rsidRDefault="00000000">
      <w:pPr>
        <w:jc w:val="both"/>
      </w:pPr>
      <w:r>
        <w:t>Rashodi za Dodatne usluge u obrazovanju (096) iznose 40.292,42 eura i odnose se na troškove prehrane. Vidljivo je povećanje u odnosu na prethodnu godinu zbog povećanja cijene namirnica i većeg broja upisane djece.</w:t>
      </w:r>
    </w:p>
    <w:p w14:paraId="4D804B42" w14:textId="77777777" w:rsidR="00C524F6" w:rsidRDefault="00C524F6"/>
    <w:p w14:paraId="4DD3F9F8" w14:textId="77777777" w:rsidR="00C524F6" w:rsidRDefault="00000000">
      <w:pPr>
        <w:keepNext/>
        <w:spacing w:line="240" w:lineRule="auto"/>
        <w:jc w:val="center"/>
      </w:pPr>
      <w:r>
        <w:rPr>
          <w:b/>
          <w:sz w:val="28"/>
        </w:rPr>
        <w:t>Promjene u vrijednosti i obujmu imovine i obveza</w:t>
      </w:r>
    </w:p>
    <w:p w14:paraId="58297483" w14:textId="77777777" w:rsidR="00C524F6"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524F6" w14:paraId="538BFF8C" w14:textId="77777777">
        <w:trPr>
          <w:cantSplit/>
        </w:trPr>
        <w:tc>
          <w:tcPr>
            <w:tcW w:w="700" w:type="dxa"/>
            <w:shd w:val="clear" w:color="auto" w:fill="E7F0F9"/>
            <w:tcMar>
              <w:top w:w="0" w:type="dxa"/>
              <w:bottom w:w="0" w:type="dxa"/>
            </w:tcMar>
            <w:vAlign w:val="center"/>
          </w:tcPr>
          <w:p w14:paraId="4967A220" w14:textId="77777777" w:rsidR="00C524F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C38BFB" w14:textId="77777777" w:rsidR="00C524F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DDD44F" w14:textId="77777777" w:rsidR="00C524F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26900C" w14:textId="77777777" w:rsidR="00C524F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27102CA" w14:textId="77777777" w:rsidR="00C524F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484BE78" w14:textId="77777777" w:rsidR="00C524F6" w:rsidRDefault="00000000">
            <w:pPr>
              <w:keepNext/>
              <w:keepLines/>
              <w:spacing w:after="0" w:line="240" w:lineRule="auto"/>
              <w:jc w:val="center"/>
            </w:pPr>
            <w:r>
              <w:rPr>
                <w:b/>
                <w:sz w:val="18"/>
              </w:rPr>
              <w:t>Indeks (%)</w:t>
            </w:r>
          </w:p>
        </w:tc>
      </w:tr>
      <w:tr w:rsidR="00C524F6" w14:paraId="30DD3F99" w14:textId="77777777">
        <w:trPr>
          <w:cantSplit/>
          <w:trHeight w:val="560"/>
        </w:trPr>
        <w:tc>
          <w:tcPr>
            <w:tcW w:w="700" w:type="dxa"/>
            <w:tcMar>
              <w:top w:w="0" w:type="dxa"/>
              <w:bottom w:w="0" w:type="dxa"/>
            </w:tcMar>
            <w:vAlign w:val="center"/>
          </w:tcPr>
          <w:p w14:paraId="3CD784A9" w14:textId="77777777" w:rsidR="00C524F6" w:rsidRDefault="00000000">
            <w:pPr>
              <w:keepNext/>
              <w:keepLines/>
              <w:spacing w:after="0" w:line="240" w:lineRule="auto"/>
            </w:pPr>
            <w:r>
              <w:rPr>
                <w:sz w:val="18"/>
              </w:rPr>
              <w:t>91512</w:t>
            </w:r>
          </w:p>
        </w:tc>
        <w:tc>
          <w:tcPr>
            <w:tcW w:w="3180" w:type="dxa"/>
            <w:tcMar>
              <w:top w:w="0" w:type="dxa"/>
              <w:bottom w:w="0" w:type="dxa"/>
            </w:tcMar>
            <w:vAlign w:val="center"/>
          </w:tcPr>
          <w:p w14:paraId="33092954" w14:textId="77777777" w:rsidR="00C524F6"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01833E81" w14:textId="77777777" w:rsidR="00C524F6" w:rsidRDefault="00000000">
            <w:pPr>
              <w:keepNext/>
              <w:keepLines/>
              <w:spacing w:after="0" w:line="240" w:lineRule="auto"/>
            </w:pPr>
            <w:r>
              <w:rPr>
                <w:sz w:val="18"/>
              </w:rPr>
              <w:t>91512</w:t>
            </w:r>
          </w:p>
        </w:tc>
        <w:tc>
          <w:tcPr>
            <w:tcW w:w="1860" w:type="dxa"/>
            <w:tcMar>
              <w:top w:w="0" w:type="dxa"/>
              <w:bottom w:w="0" w:type="dxa"/>
            </w:tcMar>
            <w:vAlign w:val="center"/>
          </w:tcPr>
          <w:p w14:paraId="23019D2D" w14:textId="77777777" w:rsidR="00C524F6" w:rsidRDefault="00000000">
            <w:pPr>
              <w:keepNext/>
              <w:keepLines/>
              <w:spacing w:after="0" w:line="240" w:lineRule="auto"/>
              <w:jc w:val="right"/>
            </w:pPr>
            <w:r>
              <w:rPr>
                <w:sz w:val="18"/>
              </w:rPr>
              <w:t>26.811,61</w:t>
            </w:r>
          </w:p>
        </w:tc>
        <w:tc>
          <w:tcPr>
            <w:tcW w:w="1860" w:type="dxa"/>
            <w:tcMar>
              <w:top w:w="0" w:type="dxa"/>
              <w:bottom w:w="0" w:type="dxa"/>
            </w:tcMar>
            <w:vAlign w:val="center"/>
          </w:tcPr>
          <w:p w14:paraId="0FF797AD" w14:textId="77777777" w:rsidR="00C524F6" w:rsidRDefault="00000000">
            <w:pPr>
              <w:keepNext/>
              <w:keepLines/>
              <w:spacing w:after="0" w:line="240" w:lineRule="auto"/>
              <w:jc w:val="right"/>
            </w:pPr>
            <w:r>
              <w:rPr>
                <w:sz w:val="18"/>
              </w:rPr>
              <w:t>0,00</w:t>
            </w:r>
          </w:p>
        </w:tc>
        <w:tc>
          <w:tcPr>
            <w:tcW w:w="700" w:type="dxa"/>
            <w:tcMar>
              <w:top w:w="0" w:type="dxa"/>
              <w:bottom w:w="0" w:type="dxa"/>
            </w:tcMar>
            <w:vAlign w:val="center"/>
          </w:tcPr>
          <w:p w14:paraId="28827C09" w14:textId="77777777" w:rsidR="00C524F6" w:rsidRDefault="00000000">
            <w:pPr>
              <w:keepNext/>
              <w:keepLines/>
              <w:spacing w:after="0" w:line="240" w:lineRule="auto"/>
              <w:jc w:val="right"/>
            </w:pPr>
            <w:r>
              <w:rPr>
                <w:sz w:val="18"/>
              </w:rPr>
              <w:t>0</w:t>
            </w:r>
          </w:p>
        </w:tc>
      </w:tr>
    </w:tbl>
    <w:p w14:paraId="32DD9601" w14:textId="77777777" w:rsidR="00C524F6" w:rsidRDefault="00C524F6">
      <w:pPr>
        <w:spacing w:after="0"/>
      </w:pPr>
    </w:p>
    <w:p w14:paraId="79D07625" w14:textId="77777777" w:rsidR="00C524F6" w:rsidRDefault="00000000">
      <w:pPr>
        <w:jc w:val="both"/>
      </w:pPr>
      <w:r>
        <w:t>Vidljivo je da je u navedenom razdoblju došlo do povećanja proizvedene dugotrajne imovine u iznosu od 26.811,61 eura. Na temelju Odluke Općinskog vijeća Općine Vidovec o prijenosu prava vlasništva opreme u korist ustanove Dječji vrtić Škrinjica (KLASA: 406-06/25-01/06, URBROJ:2186-10-01/1-25-06); Dječjem vrtiću Škrinjica prenosi se bez naknade u vlasništvo oprema ukupne vrijednosti 26.811,61 eura.</w:t>
      </w:r>
    </w:p>
    <w:p w14:paraId="4D516077" w14:textId="77777777" w:rsidR="00C524F6" w:rsidRDefault="00C524F6"/>
    <w:p w14:paraId="45EE9091" w14:textId="77777777" w:rsidR="00C524F6" w:rsidRDefault="00000000">
      <w:pPr>
        <w:keepNext/>
        <w:spacing w:line="240" w:lineRule="auto"/>
        <w:jc w:val="center"/>
      </w:pPr>
      <w:r>
        <w:rPr>
          <w:b/>
          <w:sz w:val="28"/>
        </w:rPr>
        <w:lastRenderedPageBreak/>
        <w:t>Izvještaj o obvezama</w:t>
      </w:r>
    </w:p>
    <w:p w14:paraId="6C2CF49F" w14:textId="77777777" w:rsidR="00C524F6"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524F6" w14:paraId="0382D1B8" w14:textId="77777777">
        <w:trPr>
          <w:cantSplit/>
        </w:trPr>
        <w:tc>
          <w:tcPr>
            <w:tcW w:w="700" w:type="dxa"/>
            <w:shd w:val="clear" w:color="auto" w:fill="E7F0F9"/>
            <w:tcMar>
              <w:top w:w="0" w:type="dxa"/>
              <w:bottom w:w="0" w:type="dxa"/>
            </w:tcMar>
            <w:vAlign w:val="center"/>
          </w:tcPr>
          <w:p w14:paraId="13B171D3" w14:textId="77777777" w:rsidR="00C524F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685B16" w14:textId="77777777" w:rsidR="00C524F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7B0DA5" w14:textId="77777777" w:rsidR="00C524F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C744B0" w14:textId="77777777" w:rsidR="00C524F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1A2F44C" w14:textId="77777777" w:rsidR="00C524F6" w:rsidRDefault="00000000">
            <w:pPr>
              <w:keepNext/>
              <w:keepLines/>
              <w:spacing w:after="0" w:line="240" w:lineRule="auto"/>
              <w:jc w:val="center"/>
            </w:pPr>
            <w:r>
              <w:rPr>
                <w:b/>
                <w:sz w:val="18"/>
              </w:rPr>
              <w:t>Indeks (%)</w:t>
            </w:r>
          </w:p>
        </w:tc>
      </w:tr>
      <w:tr w:rsidR="00C524F6" w14:paraId="2881DC0B" w14:textId="77777777">
        <w:trPr>
          <w:cantSplit/>
          <w:trHeight w:val="560"/>
        </w:trPr>
        <w:tc>
          <w:tcPr>
            <w:tcW w:w="700" w:type="dxa"/>
            <w:tcMar>
              <w:top w:w="0" w:type="dxa"/>
              <w:bottom w:w="0" w:type="dxa"/>
            </w:tcMar>
            <w:vAlign w:val="center"/>
          </w:tcPr>
          <w:p w14:paraId="4CB4259B" w14:textId="77777777" w:rsidR="00C524F6" w:rsidRDefault="00C524F6">
            <w:pPr>
              <w:keepNext/>
              <w:keepLines/>
              <w:spacing w:after="0" w:line="240" w:lineRule="auto"/>
            </w:pPr>
          </w:p>
        </w:tc>
        <w:tc>
          <w:tcPr>
            <w:tcW w:w="3180" w:type="dxa"/>
            <w:tcMar>
              <w:top w:w="0" w:type="dxa"/>
              <w:bottom w:w="0" w:type="dxa"/>
            </w:tcMar>
            <w:vAlign w:val="center"/>
          </w:tcPr>
          <w:p w14:paraId="36139A21" w14:textId="77777777" w:rsidR="00C524F6"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290CB044" w14:textId="77777777" w:rsidR="00C524F6" w:rsidRDefault="00000000">
            <w:pPr>
              <w:keepNext/>
              <w:keepLines/>
              <w:spacing w:after="0" w:line="240" w:lineRule="auto"/>
            </w:pPr>
            <w:r>
              <w:rPr>
                <w:sz w:val="18"/>
              </w:rPr>
              <w:t>V001</w:t>
            </w:r>
          </w:p>
        </w:tc>
        <w:tc>
          <w:tcPr>
            <w:tcW w:w="1860" w:type="dxa"/>
            <w:tcMar>
              <w:top w:w="0" w:type="dxa"/>
              <w:bottom w:w="0" w:type="dxa"/>
            </w:tcMar>
            <w:vAlign w:val="center"/>
          </w:tcPr>
          <w:p w14:paraId="66D2F718" w14:textId="77777777" w:rsidR="00C524F6" w:rsidRDefault="00000000">
            <w:pPr>
              <w:keepNext/>
              <w:keepLines/>
              <w:spacing w:after="0" w:line="240" w:lineRule="auto"/>
              <w:jc w:val="right"/>
            </w:pPr>
            <w:r>
              <w:rPr>
                <w:sz w:val="18"/>
              </w:rPr>
              <w:t>72.277,75</w:t>
            </w:r>
          </w:p>
        </w:tc>
        <w:tc>
          <w:tcPr>
            <w:tcW w:w="700" w:type="dxa"/>
            <w:tcMar>
              <w:top w:w="0" w:type="dxa"/>
              <w:bottom w:w="0" w:type="dxa"/>
            </w:tcMar>
            <w:vAlign w:val="center"/>
          </w:tcPr>
          <w:p w14:paraId="465E3E1E" w14:textId="77777777" w:rsidR="00C524F6" w:rsidRDefault="00000000">
            <w:pPr>
              <w:keepNext/>
              <w:keepLines/>
              <w:spacing w:after="0" w:line="240" w:lineRule="auto"/>
              <w:jc w:val="right"/>
            </w:pPr>
            <w:r>
              <w:rPr>
                <w:sz w:val="18"/>
              </w:rPr>
              <w:t>-</w:t>
            </w:r>
          </w:p>
        </w:tc>
      </w:tr>
    </w:tbl>
    <w:p w14:paraId="18E34EFE" w14:textId="77777777" w:rsidR="00C524F6" w:rsidRDefault="00C524F6">
      <w:pPr>
        <w:spacing w:after="0"/>
      </w:pPr>
    </w:p>
    <w:p w14:paraId="635A1434" w14:textId="77777777" w:rsidR="00C524F6" w:rsidRDefault="00000000">
      <w:pPr>
        <w:jc w:val="both"/>
      </w:pPr>
      <w:r>
        <w:t>Stanje obveza na dan 01. siječanj 2025. godine iznosi 72.277,75 eura što odgovara stanju obveza iz izvještaja na dan 31. prosinca prethodne godine.</w:t>
      </w:r>
    </w:p>
    <w:p w14:paraId="11C5F5FF" w14:textId="77777777" w:rsidR="00C524F6" w:rsidRDefault="00C524F6"/>
    <w:p w14:paraId="727AE8B6" w14:textId="77777777" w:rsidR="00C524F6"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524F6" w14:paraId="28E28814" w14:textId="77777777">
        <w:trPr>
          <w:cantSplit/>
        </w:trPr>
        <w:tc>
          <w:tcPr>
            <w:tcW w:w="700" w:type="dxa"/>
            <w:shd w:val="clear" w:color="auto" w:fill="E7F0F9"/>
            <w:tcMar>
              <w:top w:w="0" w:type="dxa"/>
              <w:bottom w:w="0" w:type="dxa"/>
            </w:tcMar>
            <w:vAlign w:val="center"/>
          </w:tcPr>
          <w:p w14:paraId="703E8D58" w14:textId="77777777" w:rsidR="00C524F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C1534B" w14:textId="77777777" w:rsidR="00C524F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A5347E" w14:textId="77777777" w:rsidR="00C524F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DBB438" w14:textId="77777777" w:rsidR="00C524F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09D9825" w14:textId="77777777" w:rsidR="00C524F6" w:rsidRDefault="00000000">
            <w:pPr>
              <w:keepNext/>
              <w:keepLines/>
              <w:spacing w:after="0" w:line="240" w:lineRule="auto"/>
              <w:jc w:val="center"/>
            </w:pPr>
            <w:r>
              <w:rPr>
                <w:b/>
                <w:sz w:val="18"/>
              </w:rPr>
              <w:t>Indeks (%)</w:t>
            </w:r>
          </w:p>
        </w:tc>
      </w:tr>
      <w:tr w:rsidR="00C524F6" w14:paraId="50367891" w14:textId="77777777">
        <w:trPr>
          <w:cantSplit/>
          <w:trHeight w:val="560"/>
        </w:trPr>
        <w:tc>
          <w:tcPr>
            <w:tcW w:w="700" w:type="dxa"/>
            <w:tcMar>
              <w:top w:w="0" w:type="dxa"/>
              <w:bottom w:w="0" w:type="dxa"/>
            </w:tcMar>
            <w:vAlign w:val="center"/>
          </w:tcPr>
          <w:p w14:paraId="158B296E" w14:textId="77777777" w:rsidR="00C524F6" w:rsidRDefault="00C524F6">
            <w:pPr>
              <w:keepNext/>
              <w:keepLines/>
              <w:spacing w:after="0" w:line="240" w:lineRule="auto"/>
            </w:pPr>
          </w:p>
        </w:tc>
        <w:tc>
          <w:tcPr>
            <w:tcW w:w="3180" w:type="dxa"/>
            <w:tcMar>
              <w:top w:w="0" w:type="dxa"/>
              <w:bottom w:w="0" w:type="dxa"/>
            </w:tcMar>
            <w:vAlign w:val="center"/>
          </w:tcPr>
          <w:p w14:paraId="16C1235A" w14:textId="77777777" w:rsidR="00C524F6"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A75E4A1" w14:textId="77777777" w:rsidR="00C524F6" w:rsidRDefault="00000000">
            <w:pPr>
              <w:keepNext/>
              <w:keepLines/>
              <w:spacing w:after="0" w:line="240" w:lineRule="auto"/>
            </w:pPr>
            <w:r>
              <w:rPr>
                <w:sz w:val="18"/>
              </w:rPr>
              <w:t>V007</w:t>
            </w:r>
          </w:p>
        </w:tc>
        <w:tc>
          <w:tcPr>
            <w:tcW w:w="1860" w:type="dxa"/>
            <w:tcMar>
              <w:top w:w="0" w:type="dxa"/>
              <w:bottom w:w="0" w:type="dxa"/>
            </w:tcMar>
            <w:vAlign w:val="center"/>
          </w:tcPr>
          <w:p w14:paraId="67D0990D" w14:textId="77777777" w:rsidR="00C524F6" w:rsidRDefault="00000000">
            <w:pPr>
              <w:keepNext/>
              <w:keepLines/>
              <w:spacing w:after="0" w:line="240" w:lineRule="auto"/>
              <w:jc w:val="right"/>
            </w:pPr>
            <w:r>
              <w:rPr>
                <w:sz w:val="18"/>
              </w:rPr>
              <w:t>9.229,56</w:t>
            </w:r>
          </w:p>
        </w:tc>
        <w:tc>
          <w:tcPr>
            <w:tcW w:w="700" w:type="dxa"/>
            <w:tcMar>
              <w:top w:w="0" w:type="dxa"/>
              <w:bottom w:w="0" w:type="dxa"/>
            </w:tcMar>
            <w:vAlign w:val="center"/>
          </w:tcPr>
          <w:p w14:paraId="488C7A23" w14:textId="77777777" w:rsidR="00C524F6" w:rsidRDefault="00000000">
            <w:pPr>
              <w:keepNext/>
              <w:keepLines/>
              <w:spacing w:after="0" w:line="240" w:lineRule="auto"/>
              <w:jc w:val="right"/>
            </w:pPr>
            <w:r>
              <w:rPr>
                <w:sz w:val="18"/>
              </w:rPr>
              <w:t>-</w:t>
            </w:r>
          </w:p>
        </w:tc>
      </w:tr>
    </w:tbl>
    <w:p w14:paraId="54BC2313" w14:textId="77777777" w:rsidR="00C524F6" w:rsidRDefault="00C524F6">
      <w:pPr>
        <w:spacing w:after="0"/>
      </w:pPr>
    </w:p>
    <w:p w14:paraId="509A65EB" w14:textId="77777777" w:rsidR="00C524F6" w:rsidRDefault="00000000">
      <w:pPr>
        <w:jc w:val="both"/>
      </w:pPr>
      <w:r>
        <w:t>Stanje dospjelih obveza na kraju izvještajnog razdoblja (V007) iznosi 9.229,56 eura i odnosi se na obveze za materijalne rashode  (D232) u iznosu od 9.223,10 eura, te obveze za financijske rashode (D234)  u iznosu od 6,46 eura. Najveći dio nepodmirenih dospjelih obveza su obveze za rashode za materijal i usluge te za režije kojima je datum dospijeća u 12. mjesecu što je i vidljivo prema prekoračenju jer sve dospjele obveze su s prekoračenjem od 1 do 60 dana. S obzirom na prekoračenja vidljivo je dugovanja s većim prekoračenjem nema. </w:t>
      </w:r>
    </w:p>
    <w:p w14:paraId="4E44D64A" w14:textId="77777777" w:rsidR="00C524F6" w:rsidRDefault="00C524F6"/>
    <w:p w14:paraId="41DDC0A1" w14:textId="77777777" w:rsidR="00C524F6"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524F6" w14:paraId="52EBCD3A" w14:textId="77777777">
        <w:trPr>
          <w:cantSplit/>
        </w:trPr>
        <w:tc>
          <w:tcPr>
            <w:tcW w:w="700" w:type="dxa"/>
            <w:shd w:val="clear" w:color="auto" w:fill="E7F0F9"/>
            <w:tcMar>
              <w:top w:w="0" w:type="dxa"/>
              <w:bottom w:w="0" w:type="dxa"/>
            </w:tcMar>
            <w:vAlign w:val="center"/>
          </w:tcPr>
          <w:p w14:paraId="7333C1F8" w14:textId="77777777" w:rsidR="00C524F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A52D00" w14:textId="77777777" w:rsidR="00C524F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BC0DAD" w14:textId="77777777" w:rsidR="00C524F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6573EC" w14:textId="77777777" w:rsidR="00C524F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61D08E9" w14:textId="77777777" w:rsidR="00C524F6" w:rsidRDefault="00000000">
            <w:pPr>
              <w:keepNext/>
              <w:keepLines/>
              <w:spacing w:after="0" w:line="240" w:lineRule="auto"/>
              <w:jc w:val="center"/>
            </w:pPr>
            <w:r>
              <w:rPr>
                <w:b/>
                <w:sz w:val="18"/>
              </w:rPr>
              <w:t>Indeks (%)</w:t>
            </w:r>
          </w:p>
        </w:tc>
      </w:tr>
      <w:tr w:rsidR="00C524F6" w14:paraId="47D3A3DA" w14:textId="77777777">
        <w:trPr>
          <w:cantSplit/>
          <w:trHeight w:val="560"/>
        </w:trPr>
        <w:tc>
          <w:tcPr>
            <w:tcW w:w="700" w:type="dxa"/>
            <w:tcMar>
              <w:top w:w="0" w:type="dxa"/>
              <w:bottom w:w="0" w:type="dxa"/>
            </w:tcMar>
            <w:vAlign w:val="center"/>
          </w:tcPr>
          <w:p w14:paraId="3B2D0A34" w14:textId="77777777" w:rsidR="00C524F6" w:rsidRDefault="00C524F6">
            <w:pPr>
              <w:keepNext/>
              <w:keepLines/>
              <w:spacing w:after="0" w:line="240" w:lineRule="auto"/>
            </w:pPr>
          </w:p>
        </w:tc>
        <w:tc>
          <w:tcPr>
            <w:tcW w:w="3180" w:type="dxa"/>
            <w:tcMar>
              <w:top w:w="0" w:type="dxa"/>
              <w:bottom w:w="0" w:type="dxa"/>
            </w:tcMar>
            <w:vAlign w:val="center"/>
          </w:tcPr>
          <w:p w14:paraId="49ED4874" w14:textId="77777777" w:rsidR="00C524F6"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2F0162A2" w14:textId="77777777" w:rsidR="00C524F6" w:rsidRDefault="00000000">
            <w:pPr>
              <w:keepNext/>
              <w:keepLines/>
              <w:spacing w:after="0" w:line="240" w:lineRule="auto"/>
            </w:pPr>
            <w:r>
              <w:rPr>
                <w:sz w:val="18"/>
              </w:rPr>
              <w:t>V009</w:t>
            </w:r>
          </w:p>
        </w:tc>
        <w:tc>
          <w:tcPr>
            <w:tcW w:w="1860" w:type="dxa"/>
            <w:tcMar>
              <w:top w:w="0" w:type="dxa"/>
              <w:bottom w:w="0" w:type="dxa"/>
            </w:tcMar>
            <w:vAlign w:val="center"/>
          </w:tcPr>
          <w:p w14:paraId="6331A82E" w14:textId="77777777" w:rsidR="00C524F6" w:rsidRDefault="00000000">
            <w:pPr>
              <w:keepNext/>
              <w:keepLines/>
              <w:spacing w:after="0" w:line="240" w:lineRule="auto"/>
              <w:jc w:val="right"/>
            </w:pPr>
            <w:r>
              <w:rPr>
                <w:sz w:val="18"/>
              </w:rPr>
              <w:t>84.752,67</w:t>
            </w:r>
          </w:p>
        </w:tc>
        <w:tc>
          <w:tcPr>
            <w:tcW w:w="700" w:type="dxa"/>
            <w:tcMar>
              <w:top w:w="0" w:type="dxa"/>
              <w:bottom w:w="0" w:type="dxa"/>
            </w:tcMar>
            <w:vAlign w:val="center"/>
          </w:tcPr>
          <w:p w14:paraId="030DE9EC" w14:textId="77777777" w:rsidR="00C524F6" w:rsidRDefault="00000000">
            <w:pPr>
              <w:keepNext/>
              <w:keepLines/>
              <w:spacing w:after="0" w:line="240" w:lineRule="auto"/>
              <w:jc w:val="right"/>
            </w:pPr>
            <w:r>
              <w:rPr>
                <w:sz w:val="18"/>
              </w:rPr>
              <w:t>-</w:t>
            </w:r>
          </w:p>
        </w:tc>
      </w:tr>
    </w:tbl>
    <w:p w14:paraId="1D41C6FB" w14:textId="77777777" w:rsidR="00C524F6" w:rsidRDefault="00C524F6">
      <w:pPr>
        <w:spacing w:after="0"/>
      </w:pPr>
    </w:p>
    <w:p w14:paraId="7F7B3B0F" w14:textId="77777777" w:rsidR="00C524F6" w:rsidRDefault="00000000">
      <w:pPr>
        <w:jc w:val="both"/>
      </w:pPr>
      <w:r>
        <w:t>Iznos od 84.752,67 eura nedospjelih obveza (V009) na kraju izvještajnog razdoblja odnosi se na obveze za rashode poslovanja. Što se tiče iznosa od 84.752,67 eura nedospjelih obveza iznos od 75.637,94 eura predstavlja metodološki manjak i odnosi se na plaću za 12. mjesec 2025. godine koja se isplaćuje u mjesecu siječnju 2026. godine. </w:t>
      </w:r>
    </w:p>
    <w:p w14:paraId="3595B146" w14:textId="77777777" w:rsidR="00C524F6" w:rsidRDefault="00C524F6"/>
    <w:sectPr w:rsidR="00C52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4F6"/>
    <w:rsid w:val="000E74DF"/>
    <w:rsid w:val="004F598C"/>
    <w:rsid w:val="00C524F6"/>
    <w:rsid w:val="00F321A6"/>
    <w:rsid w:val="00F850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285B"/>
  <w15:docId w15:val="{355600BB-9A74-42F9-B3B9-DB6D47F7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1962</Words>
  <Characters>11184</Characters>
  <Application>Microsoft Office Word</Application>
  <DocSecurity>0</DocSecurity>
  <Lines>93</Lines>
  <Paragraphs>26</Paragraphs>
  <ScaleCrop>false</ScaleCrop>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dc:creator>
  <cp:lastModifiedBy>Vrtić Škrinjica</cp:lastModifiedBy>
  <cp:revision>2</cp:revision>
  <dcterms:created xsi:type="dcterms:W3CDTF">2026-02-03T09:55:00Z</dcterms:created>
  <dcterms:modified xsi:type="dcterms:W3CDTF">2026-02-03T09:55:00Z</dcterms:modified>
</cp:coreProperties>
</file>